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участия </w:t>
      </w:r>
      <w:r>
        <w:rPr>
          <w:b/>
          <w:sz w:val="18"/>
          <w:szCs w:val="18"/>
        </w:rPr>
        <w:t xml:space="preserve">в долевом строительстве №_______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г.Ижевск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_____________ 20__ года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Общество с ограниченной ответственностью «Специализированный застройщик «ПЗСП-Ижевск»</w:t>
      </w:r>
      <w:r>
        <w:rPr>
          <w:sz w:val="18"/>
          <w:szCs w:val="18"/>
        </w:rPr>
        <w:t xml:space="preserve">, ИНН 1831191525, именуемое в дальнейшем «Застройщик», в лице </w:t>
      </w:r>
      <w:r>
        <w:rPr>
          <w:sz w:val="18"/>
          <w:szCs w:val="18"/>
        </w:rPr>
        <w:fldChar w:fldCharType="begin"/>
      </w:r>
      <w:bookmarkStart w:id="0" w:name="Орг_ответлицо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Шолоховой Инны Леонидовны</w:t>
      </w:r>
      <w:r>
        <w:rPr>
          <w:sz w:val="18"/>
          <w:szCs w:val="18"/>
        </w:rPr>
        <w:fldChar w:fldCharType="end"/>
      </w:r>
      <w:bookmarkEnd w:id="0"/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действующего на основании доверенности № 59 АА 4447463, выданной 18.07.2023 г Мауль Ольгой Александровной, нотариусом Пермского городского нотариального округа, зарегистрировано в реестре за № 59/304-н/59-2023-3-96, с одной стороны, и</w:t>
      </w:r>
      <w:r>
        <w:rPr>
          <w:sz w:val="18"/>
          <w:szCs w:val="18"/>
        </w:rPr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90" w:type="dxa"/>
            <w:textDirection w:val="lrTb"/>
            <w:noWrap w:val="false"/>
          </w:tcPr>
          <w:p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_________________________, __.__.____ года рождения, паспорт __ __ ____________, выдан __.__._____ ____________________________, код подразделения ___-___, зарегистрирован по адресу: ___________________,</w:t>
            </w:r>
            <w:r>
              <w:rPr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«Участник долевого строительства», с другой стороны, вместе именуемые в дальнейшем «Стороны», заключили настоящий договор о нижеследующем: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Термины и определения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1.1. Если в тексте настоящего Договора не указано иное, следующие термины и определения имеют указанное значение: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1.1.1. Дом – Комплекс многоквартирных жилых домов по ул. Полесская в Муниципальном округе Завьяловский район Удмуртской Республики. Жилой дом №1, расположенный по адресу:</w:t>
      </w:r>
      <w:r>
        <w:rPr>
          <w:b/>
          <w:sz w:val="18"/>
          <w:szCs w:val="18"/>
        </w:rPr>
        <w:t xml:space="preserve"> Удмуртская Республика, Завьяловский район, с. Октябрьский, ул. Пермская, д.2</w:t>
      </w:r>
      <w:r>
        <w:rPr>
          <w:sz w:val="18"/>
          <w:szCs w:val="18"/>
        </w:rPr>
        <w:t xml:space="preserve">. Общая площадь квартир с учетом балконов и лоджий – </w:t>
      </w:r>
      <w:r>
        <w:rPr>
          <w:b/>
          <w:sz w:val="18"/>
          <w:szCs w:val="18"/>
        </w:rPr>
        <w:t xml:space="preserve">11</w:t>
      </w:r>
      <w:r>
        <w:rPr>
          <w:b/>
          <w:sz w:val="18"/>
          <w:szCs w:val="18"/>
        </w:rPr>
        <w:t xml:space="preserve"> 153,71</w:t>
      </w:r>
      <w:r>
        <w:rPr>
          <w:sz w:val="18"/>
          <w:szCs w:val="18"/>
        </w:rPr>
        <w:t xml:space="preserve"> кв. м,. </w:t>
      </w:r>
      <w:r>
        <w:rPr>
          <w:b/>
          <w:sz w:val="18"/>
          <w:szCs w:val="18"/>
        </w:rPr>
        <w:t xml:space="preserve">Секция __. Подъезд __</w:t>
      </w:r>
      <w:r>
        <w:rPr>
          <w:b/>
          <w:sz w:val="18"/>
          <w:szCs w:val="18"/>
        </w:rPr>
        <w:t xml:space="preserve"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Площадь жилого здания </w:t>
      </w:r>
      <w:r>
        <w:rPr>
          <w:b/>
          <w:sz w:val="18"/>
          <w:szCs w:val="18"/>
        </w:rPr>
        <w:t xml:space="preserve">16 317.29 </w:t>
      </w:r>
      <w:r>
        <w:rPr>
          <w:sz w:val="18"/>
          <w:szCs w:val="18"/>
        </w:rPr>
        <w:t xml:space="preserve">кв.м.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Этажность -</w:t>
      </w:r>
      <w:r>
        <w:rPr>
          <w:b/>
          <w:sz w:val="18"/>
          <w:szCs w:val="18"/>
        </w:rPr>
        <w:t xml:space="preserve">10.</w:t>
      </w:r>
      <w:r>
        <w:rPr>
          <w:sz w:val="18"/>
          <w:szCs w:val="18"/>
        </w:rPr>
        <w:t xml:space="preserve"> Количество этажей в доме -</w:t>
      </w:r>
      <w:r>
        <w:rPr>
          <w:b/>
          <w:sz w:val="18"/>
          <w:szCs w:val="18"/>
        </w:rPr>
        <w:t xml:space="preserve">11. </w:t>
      </w:r>
      <w:r>
        <w:rPr>
          <w:sz w:val="18"/>
          <w:szCs w:val="18"/>
        </w:rPr>
        <w:t xml:space="preserve">После завершения строительства Дому будет присвоен почтовый адрес по решению органов местного самоуправления.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Материал наружных стен и каркаса объекта– бескаркасные со стенами из крупных каменных материалов.</w:t>
      </w:r>
      <w:bookmarkStart w:id="1" w:name="_GoBack"/>
      <w:r/>
      <w:bookmarkEnd w:id="1"/>
      <w:r/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Материал поэтажных перекрытий– многопустотные сборные железобетонные плиты толщиной 220мм.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Класс энергоэффективности -С.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Класс сейсмостойкости – </w:t>
      </w:r>
      <w:r>
        <w:rPr>
          <w:sz w:val="18"/>
          <w:szCs w:val="18"/>
        </w:rPr>
        <w:fldChar w:fldCharType="begin"/>
      </w:r>
      <w:bookmarkStart w:id="2" w:name="КлассСейсмостойкости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5 и менее баллов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1.1.2. Объект долевого строительства (далее – «Квартира») - жилое помещение, подлежащее передаче участнику долевого строительства после полу</w:t>
      </w:r>
      <w:r>
        <w:rPr>
          <w:sz w:val="18"/>
          <w:szCs w:val="18"/>
        </w:rPr>
        <w:t xml:space="preserve">чения разрешения на ввод в эксплуатацию многоквартирного жилого дома и входящее в состав указанного многоквартирного дома и (или) иного объекта недвижимости, строящегося (создаваемого) также с привлечением денежных средств участника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Объектом долевого строительства по настоящему договору является</w:t>
      </w:r>
      <w:r>
        <w:rPr>
          <w:sz w:val="18"/>
          <w:szCs w:val="18"/>
        </w:rPr>
      </w:r>
    </w:p>
    <w:tbl>
      <w:tblPr>
        <w:tblW w:w="1049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49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9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 - комнатная квартира с условным номером ___, общей планируемой строительной площадью ____ (_________________) квадратных метров с учетом лоджии, в том числе: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>
              <w:rPr>
                <w:b/>
                <w:sz w:val="18"/>
                <w:szCs w:val="18"/>
              </w:rPr>
              <w:tab/>
              <w:t xml:space="preserve">площадь комнат: ___________ (______________ квадратных метров, _____ (____________) квадратных метров, ___________ (__________________) квадратных метров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>
              <w:rPr>
                <w:b/>
                <w:sz w:val="18"/>
                <w:szCs w:val="18"/>
              </w:rPr>
              <w:tab/>
              <w:t xml:space="preserve"> площадь лоджии (с понижающим коэффициентом 0.5) составляет _____ (_______________) квадратных метров.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>
              <w:rPr>
                <w:b/>
                <w:sz w:val="18"/>
                <w:szCs w:val="18"/>
              </w:rPr>
              <w:tab/>
              <w:t xml:space="preserve">площадь помещений вспомогательного использования: ____________ (_________________) квадратных метров, из которых: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>
              <w:rPr>
                <w:b/>
                <w:sz w:val="18"/>
                <w:szCs w:val="18"/>
              </w:rPr>
              <w:tab/>
              <w:t xml:space="preserve">____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>
              <w:rPr>
                <w:b/>
                <w:sz w:val="18"/>
                <w:szCs w:val="18"/>
              </w:rPr>
              <w:tab/>
              <w:t xml:space="preserve">____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Общая площадь квартиры (Проектная площадь) без учета лоджий __________ (_______________________________) квадратных метров.</w:t>
            </w:r>
            <w:r>
              <w:rPr>
                <w:b/>
                <w:sz w:val="18"/>
                <w:szCs w:val="18"/>
              </w:rPr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расположена на __ этаже __-этажного строящегося дома по адресу: ___________________</w:t>
            </w:r>
            <w:r>
              <w:rPr>
                <w:b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  <w:t xml:space="preserve">План Квартиры, включающий ее местоположение в Доме, приводится в Приложении № 1 к  договору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Проектная площадь и номер квартиры являются условными и подлежат уточнению после технической инвентаризации и выдачи технического паспорта на Дом, что отражается в акте сдачи-приемки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Изменение проектной площади квартиры в результате ее уточнения не считается несоответствием построенной квартиры условиям настоящего Договора.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1.1.3. Застройщик - юридическое лицо, имеющее на праве собственности и/или аренды земельный участо</w:t>
      </w:r>
      <w:r>
        <w:rPr>
          <w:sz w:val="18"/>
          <w:szCs w:val="18"/>
        </w:rPr>
        <w:t xml:space="preserve">к и привлекающее денежные средства участников долевого строительства в соответствии с действующим законодательством РФ для строительства (создания) на этих земельных участках Дома на основании полученного разрешения на строительство (далее - "Застройщик").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1.1.4. Участник долевого строительства – лицо, осуществляющее по настоящему договору участие в долевом строительстве дома за счет собственных и (или) кредитных (заёмных) средств (далее - "Участник долевого строительства").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Юридические основания к заключению Договора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2.1. При заключении договора стороны руководствовались: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ab/>
        <w:t xml:space="preserve">Гражданским кодексом РФ, Федеральным законом «Об участии в долевом строительстве многоквартирных домов и иных объектов недвижимости…» от 30.12.2004 г. №214-ФЗ и иным действующим законодательством РФ.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Разрешением на строительство №18-08-20-2023 </w:t>
      </w:r>
      <w:r>
        <w:rPr>
          <w:sz w:val="18"/>
          <w:szCs w:val="18"/>
        </w:rPr>
        <w:t xml:space="preserve">от 01.06.2023 года, выдано Государственным казенным учреждением субъекта РФ Министерством строительства, жилищно-коммунального хозяйства и энергетики Удмуртской Республики.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Договором купли-продажи земельного участка №б/н о</w:t>
      </w:r>
      <w:r>
        <w:rPr>
          <w:sz w:val="18"/>
          <w:szCs w:val="18"/>
        </w:rPr>
        <w:t xml:space="preserve">т 08.06.2022 года (дата государственной регистрации договора 22.03.2023 года), общая площадь 14 121.00 кв.м., адрес объекта: Удмуртская Республика, Завьяловский р-н, с. Октябрьский, ул. Пермская, д.2. Кадастровый номер земельного участка 18:08:028001:1346.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Участник долевого строительства уведомлен о том, что указанный в настоящем пункте земельный участок находится в залоге у ПАО Сбербанк по договору ипотеки и не возражает против этого.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2.2. 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</w:t>
      </w:r>
      <w:r>
        <w:rPr>
          <w:sz w:val="18"/>
          <w:szCs w:val="18"/>
        </w:rPr>
        <w:t xml:space="preserve"> лицензии, допуски, разрешения на строительство и/или иные документы и/или договоры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2.3. Застройщик гарантирует, что проектная декларация, включающая в себя всю предусмотренную законом информацию о Застройщике и объекте строительства, опубликована в установленном действующим законодательством Российской Федерации порядке.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bookmarkStart w:id="3" w:name="ОфициальныйСайт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Проектная документация опубликована на сайте https://наш.дом.рф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2.4. Строительство Дома осуществляется за счет кредитных средств, предоставленных Застройщику ПАО Сбербанк по Договору об открытии невозобновляемой кредитной линии №420F00LV4MF-001 от 25.08.2023 года.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Участник долевого строительства даёт согласие Застройщику: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— на внесение изменений и дополнений в проектную документацию на строительство Дома.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— на передачу земельного участка с кадастровым номером: 18:08:028001:1346, а также вновь образованных земельных участков в залог ПАО Сбербанк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Земельный участок/Право аренды земельного участка, на котором осуществляется строительство Дома, находится в залоге/ипотеке у ПАО Сбербанк на основании Договора Ипотеки </w:t>
      </w:r>
      <w:r>
        <w:rPr>
          <w:sz w:val="18"/>
          <w:szCs w:val="18"/>
        </w:rPr>
        <w:t xml:space="preserve">№ДИ1_420</w:t>
      </w:r>
      <w:r>
        <w:rPr>
          <w:sz w:val="18"/>
          <w:szCs w:val="18"/>
          <w:lang w:val="en-US"/>
        </w:rPr>
        <w:t xml:space="preserve">F</w:t>
      </w:r>
      <w:r>
        <w:rPr>
          <w:sz w:val="18"/>
          <w:szCs w:val="18"/>
        </w:rPr>
        <w:t xml:space="preserve">00</w:t>
      </w:r>
      <w:r>
        <w:rPr>
          <w:sz w:val="18"/>
          <w:szCs w:val="18"/>
          <w:lang w:val="en-US"/>
        </w:rPr>
        <w:t xml:space="preserve">LV</w:t>
      </w:r>
      <w:r>
        <w:rPr>
          <w:sz w:val="18"/>
          <w:szCs w:val="18"/>
        </w:rPr>
        <w:t xml:space="preserve">4</w:t>
      </w:r>
      <w:r>
        <w:rPr>
          <w:sz w:val="18"/>
          <w:szCs w:val="18"/>
          <w:lang w:val="en-US"/>
        </w:rPr>
        <w:t xml:space="preserve">MF</w:t>
      </w:r>
      <w:r>
        <w:rPr>
          <w:sz w:val="18"/>
          <w:szCs w:val="18"/>
        </w:rPr>
        <w:t xml:space="preserve"> от 25 августа 2023 года</w:t>
      </w:r>
      <w:r>
        <w:rPr>
          <w:bCs/>
          <w:sz w:val="18"/>
          <w:szCs w:val="18"/>
        </w:rPr>
        <w:t xml:space="preserve">, заключенного между ПАО Сбербанк и Застройщиком.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Предмет Договора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3.1. В соответствии с настоящим договором Застройщик обязуется в предусмотренный договором срок своими силами и (или) с привлечением других лиц построить (создать) Дом и пос</w:t>
      </w:r>
      <w:r>
        <w:rPr>
          <w:sz w:val="18"/>
          <w:szCs w:val="18"/>
        </w:rPr>
        <w:t xml:space="preserve">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3.2. Застройщик обязуется построить Дом и получить разрешение на ввод объекта строительства в эксплуатацию в срок не позднее </w:t>
      </w:r>
      <w:r>
        <w:rPr>
          <w:b/>
          <w:sz w:val="18"/>
          <w:szCs w:val="18"/>
        </w:rPr>
        <w:t xml:space="preserve">Первый квартал 2026 года</w:t>
      </w:r>
      <w:r>
        <w:rPr>
          <w:sz w:val="18"/>
          <w:szCs w:val="18"/>
        </w:rPr>
        <w:t xml:space="preserve">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Застройщик обязуется передать Квартиру Участнику долевого строительства в течение 3 (трех) месяцев с даты получения разрешения на ввод Дома в эксплуатацию.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3.3. Привлечение денежных средств участников долевого строительства производится путем размещения их на счетах эскроу.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Цена договора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4.1. Общая сумма (цена договора), уплачиваемая Участником долевого строительства в счет строительства Квартиры, на момент заключения настоящего договора составляет </w:t>
      </w:r>
      <w:r>
        <w:rPr>
          <w:sz w:val="18"/>
          <w:szCs w:val="18"/>
        </w:rPr>
        <w:t xml:space="preserve">_______________________ (__________________________ рублей ________________ копеек).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4.2. Участник долевого строительства обязуется внести денежные средства в счет уплаты цены насто</w:t>
      </w:r>
      <w:r>
        <w:rPr>
          <w:sz w:val="18"/>
          <w:szCs w:val="18"/>
        </w:rPr>
        <w:t xml:space="preserve">ящего Договора участия в долевом строительстве на специальный счет-эскроу, открываемый в ПАО Сбербанк (Уполномоченный банк) для учета и блокирования денежных средств, полученных Уполномоченным банком от являющегося владельцем счета Участника долевого строи</w:t>
      </w:r>
      <w:r>
        <w:rPr>
          <w:sz w:val="18"/>
          <w:szCs w:val="18"/>
        </w:rPr>
        <w:t xml:space="preserve">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</w:t>
      </w:r>
      <w:r>
        <w:rPr>
          <w:sz w:val="18"/>
          <w:szCs w:val="18"/>
        </w:rPr>
        <w:t xml:space="preserve">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Уполномоченным банком, с учетом следующего:</w:t>
      </w:r>
      <w:r>
        <w:rPr>
          <w:sz w:val="18"/>
          <w:szCs w:val="18"/>
        </w:rPr>
      </w:r>
    </w:p>
    <w:p>
      <w:pPr>
        <w:ind w:left="567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Эскроу агент:</w:t>
      </w:r>
      <w:r>
        <w:rPr>
          <w:sz w:val="18"/>
          <w:szCs w:val="18"/>
        </w:rPr>
        <w:t xml:space="preserve"> ПАО Сбербанк, находящийся по адресу: Российская Федерация, г. Москва, ул. Вавилова, 19 ИНН 7707083893, ОГРН 1027700132195, Корреспондентский счет № 30101810500000000653, открыт в Северо-Западное ГУ Банка России, БИК 044030653, электронная почта: </w:t>
      </w:r>
      <w:hyperlink r:id="rId10" w:tooltip="mailto:Escrow_Sberbank@sberbank.ru" w:history="1">
        <w:r>
          <w:rPr>
            <w:rStyle w:val="862"/>
            <w:color w:val="auto"/>
            <w:sz w:val="18"/>
            <w:szCs w:val="18"/>
          </w:rPr>
          <w:t xml:space="preserve">Escrow_Sberbank@sberbank.ru</w:t>
        </w:r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</w:rPr>
      </w:r>
    </w:p>
    <w:p>
      <w:pPr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Телефон 88002008603</w:t>
      </w:r>
      <w:r>
        <w:rPr>
          <w:sz w:val="18"/>
          <w:szCs w:val="18"/>
        </w:rPr>
      </w:r>
    </w:p>
    <w:p>
      <w:pPr>
        <w:ind w:left="567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Депонент: 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Бенефициар: Общество с ограниченной ответственностью «Специализированный застройщик «ПЗСП-Ижевск»</w:t>
      </w:r>
      <w:r>
        <w:rPr>
          <w:sz w:val="18"/>
          <w:szCs w:val="18"/>
        </w:rPr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Депонируемая сумма 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Срок внесения Депонентом Депонируемой суммы на счет </w:t>
      </w:r>
      <w:r>
        <w:rPr>
          <w:sz w:val="18"/>
          <w:szCs w:val="18"/>
        </w:rPr>
        <w:t xml:space="preserve">эскроу: не позднее 3 (трех) рабочих дней с даты государственной регистрации настоящего договора. При этом денежные средства не могут быть внесены на счет эскроу ранее даты государственной регистрации договора участия в долевом строительстве, но не позднее </w:t>
      </w:r>
      <w:r>
        <w:rPr>
          <w:sz w:val="18"/>
          <w:szCs w:val="18"/>
        </w:rPr>
        <w:t xml:space="preserve">«___» ______ 20__г.</w:t>
      </w:r>
      <w:r>
        <w:rPr>
          <w:sz w:val="18"/>
          <w:szCs w:val="18"/>
        </w:rPr>
      </w:r>
    </w:p>
    <w:p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Срок условного депонирования денежных средств - 6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  <w:r>
        <w:rPr>
          <w:sz w:val="18"/>
          <w:szCs w:val="18"/>
        </w:rPr>
      </w:r>
    </w:p>
    <w:p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i/>
          <w:iCs/>
          <w:sz w:val="18"/>
          <w:szCs w:val="18"/>
        </w:rPr>
        <w:t xml:space="preserve">«Внесение средств по договору участия в долевом строительстве № _______ от          20__ года, заключенному с ___________________, НДС не облагается».</w:t>
      </w:r>
      <w:r>
        <w:rPr>
          <w:i/>
          <w:iCs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Участник долевого строительства не имеет права осуществлять любые платежи по </w:t>
      </w:r>
      <w:r>
        <w:rPr>
          <w:sz w:val="18"/>
          <w:szCs w:val="18"/>
        </w:rPr>
        <w:t xml:space="preserve">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возмещает Зас</w:t>
      </w:r>
      <w:r>
        <w:rPr>
          <w:sz w:val="18"/>
          <w:szCs w:val="18"/>
        </w:rPr>
        <w:t xml:space="preserve">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</w:t>
      </w:r>
      <w:r>
        <w:rPr>
          <w:sz w:val="18"/>
          <w:szCs w:val="18"/>
        </w:rPr>
        <w:t xml:space="preserve">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</w:r>
      <w:r>
        <w:rPr>
          <w:sz w:val="18"/>
          <w:szCs w:val="18"/>
        </w:rPr>
      </w:r>
    </w:p>
    <w:p>
      <w:pPr>
        <w:tabs>
          <w:tab w:val="left" w:pos="851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</w:t>
      </w:r>
      <w:hyperlink r:id="rId11" w:tooltip="consultantplus://offline/ref=0E6604B2C0F9ED1A550086FC79924A2CDBCD491259844F49C79E199C43009323C860E6DAA06A31BCD8BBB131AD93DEA28E5C1AC8A269C8AEY8M9Q" w:history="1">
        <w:r>
          <w:rPr>
            <w:rStyle w:val="862"/>
            <w:color w:val="auto"/>
            <w:sz w:val="18"/>
            <w:szCs w:val="18"/>
            <w:u w:val="none"/>
          </w:rPr>
          <w:t xml:space="preserve">пункте 5.2 статьи 7</w:t>
        </w:r>
      </w:hyperlink>
      <w:r>
        <w:rPr>
          <w:sz w:val="18"/>
          <w:szCs w:val="18"/>
        </w:rPr>
        <w:t xml:space="preserve"> Федерального закона </w:t>
      </w:r>
      <w:r>
        <w:rPr>
          <w:sz w:val="18"/>
          <w:szCs w:val="18"/>
        </w:rPr>
        <w:t xml:space="preserve">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2" w:tooltip="consultantplus://offline/ref=0E6604B2C0F9ED1A550086FC79924A2CDBCE4D155B814F49C79E199C43009323C860E6DAA06A30BBDEBBB131AD93DEA28E5C1AC8A269C8AEY8M9Q" w:history="1">
        <w:r>
          <w:rPr>
            <w:rStyle w:val="862"/>
            <w:color w:val="auto"/>
            <w:sz w:val="18"/>
            <w:szCs w:val="18"/>
            <w:u w:val="none"/>
          </w:rPr>
          <w:t xml:space="preserve">частями 3</w:t>
        </w:r>
      </w:hyperlink>
      <w:r>
        <w:rPr>
          <w:sz w:val="18"/>
          <w:szCs w:val="18"/>
        </w:rPr>
        <w:t xml:space="preserve"> и </w:t>
      </w:r>
      <w:hyperlink r:id="rId13" w:tooltip="consultantplus://offline/ref=0E6604B2C0F9ED1A550086FC79924A2CDBCE4D155B814F49C79E199C43009323C860E6DAA06A30BBD9BBB131AD93DEA28E5C1AC8A269C8AEY8M9Q" w:history="1">
        <w:r>
          <w:rPr>
            <w:rStyle w:val="862"/>
            <w:color w:val="auto"/>
            <w:sz w:val="18"/>
            <w:szCs w:val="18"/>
            <w:u w:val="none"/>
          </w:rPr>
          <w:t xml:space="preserve">4 статьи 9</w:t>
        </w:r>
      </w:hyperlink>
      <w:r>
        <w:rPr>
          <w:sz w:val="18"/>
          <w:szCs w:val="18"/>
        </w:rPr>
        <w:t xml:space="preserve">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18"/>
          <w:szCs w:val="18"/>
        </w:rPr>
      </w:r>
    </w:p>
    <w:p>
      <w:pPr>
        <w:tabs>
          <w:tab w:val="left" w:pos="851" w:leader="none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Перечисление депонированной суммы бенефициару (Застройщику) осуществляется после предоставления Эскроу агенту разрешения на ввод в эксплуатацию Дома или сведений о размещении в единой информационной системе жилищного строительства этой информации.</w:t>
      </w:r>
      <w:r>
        <w:rPr>
          <w:i/>
          <w:iCs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4.3. Денежная сумма определяется в российских рублях. Все расчеты между Сторонами производятся в российских рублях.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4.4. В случае, если по результатам технической инв</w:t>
      </w:r>
      <w:r>
        <w:rPr>
          <w:sz w:val="18"/>
          <w:szCs w:val="18"/>
        </w:rPr>
        <w:t xml:space="preserve">ентаризации законченного строительством объекта фактическая общая площадь Квартиры изменится по сравнению с ее проектной площадью, указанной в п. 1.1.2 настоящего Договора, не более, чем на 5 (пять) процентов, общая сумма (цена договора) не изменяется.    </w:t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Права и обязанности Сторон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 Застройщик обязуется: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5.1.1. Выполнить необходимые строительно-монтажные и пусконаладочные работы по строительству Дома и ввести его в эксплуатацию в установленные настоящим Договором сроки.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5.1.2. По окончании строительства и ввода Дома в эксплуатацию передать Участнику долевого строительства Квартиру по Акту сдачи-приемки в сроки, установленные настоящим Договором.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Допускается досрочное исполнение Застройщиком обязательства по передаче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Акт сдачи-приемки Квартиры подписывается Застройщиком и Участником долевого строительства или их представителями, действующими на основании доверенностей.</w:t>
      </w:r>
      <w:r>
        <w:rPr>
          <w:sz w:val="18"/>
          <w:szCs w:val="18"/>
        </w:rPr>
      </w:r>
    </w:p>
    <w:p>
      <w:pPr>
        <w:pStyle w:val="884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случае несо</w:t>
      </w:r>
      <w:r>
        <w:rPr>
          <w:rFonts w:ascii="Times New Roman" w:hAnsi="Times New Roman"/>
          <w:sz w:val="18"/>
          <w:szCs w:val="18"/>
        </w:rPr>
        <w:t xml:space="preserve">ответствия Квартиры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по требованию Участника долевого строительства Застройщиком составляется двусторонний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Акт с указанием выявленных недостатков и сроков их устранения Застройщиком.</w:t>
      </w:r>
      <w:r>
        <w:rPr>
          <w:rFonts w:ascii="Times New Roman" w:hAnsi="Times New Roman"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Застрой</w:t>
      </w:r>
      <w:r>
        <w:rPr>
          <w:sz w:val="18"/>
          <w:szCs w:val="18"/>
        </w:rPr>
        <w:t xml:space="preserve">щик по истечении 2 (двух) месяцев со дня, предусмотренного настоящим Договором для передачи Квартиры Участнику долевого строительства, вправе составить односторонний акт приема-передачи Объекта долевого строительства в двух экземплярах в следующих случаях:</w:t>
      </w:r>
      <w:r>
        <w:rPr>
          <w:sz w:val="18"/>
          <w:szCs w:val="18"/>
        </w:rPr>
      </w:r>
    </w:p>
    <w:p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-при уклонении Участника долевого строительства от принятия Квартиры;</w:t>
      </w:r>
      <w:r>
        <w:rPr>
          <w:sz w:val="18"/>
          <w:szCs w:val="18"/>
        </w:rPr>
      </w:r>
    </w:p>
    <w:p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-при немотивированном отказе Участника долевого строительства от подписания акта приема-передачи Квартиры;</w:t>
      </w:r>
      <w:r>
        <w:rPr>
          <w:sz w:val="18"/>
          <w:szCs w:val="18"/>
        </w:rPr>
      </w:r>
    </w:p>
    <w:p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-при неявке надлежащим образом уведомленного Участника долевого строительства о проведении сдачи-приемки </w:t>
      </w:r>
      <w:r>
        <w:rPr>
          <w:sz w:val="18"/>
          <w:szCs w:val="18"/>
        </w:rPr>
        <w:t xml:space="preserve">Квартиры</w:t>
      </w:r>
      <w:r>
        <w:rPr>
          <w:sz w:val="18"/>
          <w:szCs w:val="18"/>
        </w:rPr>
        <w:t xml:space="preserve">;</w:t>
      </w:r>
      <w:r>
        <w:rPr>
          <w:sz w:val="18"/>
          <w:szCs w:val="18"/>
        </w:rPr>
      </w:r>
    </w:p>
    <w:p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-если оператором почтовой связи заказное письмо возвращено Застройщику с сообщением об отказе </w:t>
      </w:r>
      <w:r>
        <w:rPr>
          <w:sz w:val="18"/>
          <w:szCs w:val="18"/>
        </w:rPr>
        <w:t xml:space="preserve">Участника долевого строительства</w:t>
      </w:r>
      <w:r>
        <w:rPr>
          <w:sz w:val="18"/>
          <w:szCs w:val="18"/>
        </w:rPr>
        <w:t xml:space="preserve"> от получения </w:t>
      </w:r>
      <w:r>
        <w:rPr>
          <w:sz w:val="18"/>
          <w:szCs w:val="18"/>
        </w:rPr>
        <w:t xml:space="preserve">Квартиры </w:t>
      </w:r>
      <w:r>
        <w:rPr>
          <w:sz w:val="18"/>
          <w:szCs w:val="18"/>
        </w:rPr>
        <w:t xml:space="preserve">или в связи с отсутствием </w:t>
      </w:r>
      <w:r>
        <w:rPr>
          <w:sz w:val="18"/>
          <w:szCs w:val="18"/>
        </w:rPr>
        <w:t xml:space="preserve">Участника долевого строительства</w:t>
      </w:r>
      <w:r>
        <w:rPr>
          <w:sz w:val="18"/>
          <w:szCs w:val="18"/>
        </w:rPr>
        <w:t xml:space="preserve"> по указанному им адресу.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3</w:t>
      </w:r>
      <w:r>
        <w:rPr>
          <w:sz w:val="18"/>
          <w:szCs w:val="18"/>
        </w:rPr>
        <w:t xml:space="preserve">. Не менее, чем за 14 рабочих дней до наступления установленного договоро</w:t>
      </w:r>
      <w:r>
        <w:rPr>
          <w:sz w:val="18"/>
          <w:szCs w:val="18"/>
        </w:rPr>
        <w:t xml:space="preserve">м срока начала передачи и принятия Квартиры, направить Участнику долевого строительства сообщение о завершении строительства Дома в соответствии с договором и о готовности Квартиры к передаче, а также предупредить Участника долевого строительства о необход</w:t>
      </w:r>
      <w:r>
        <w:rPr>
          <w:sz w:val="18"/>
          <w:szCs w:val="18"/>
        </w:rPr>
        <w:t xml:space="preserve">имости принятия Квартиры и о последствиях бездействия Участника долевого строительства, предусмотренных частью 6 статьи 8 Федерального закона «Об участии в долевом строительстве многоквартирных домов и иных объектов недвижимости…» от 30.12.2004 г. №214-ФЗ.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</w:t>
      </w:r>
      <w:r>
        <w:rPr>
          <w:sz w:val="18"/>
          <w:szCs w:val="18"/>
        </w:rPr>
        <w:t xml:space="preserve">ва лично под расписку. При этом срок начала передачи и принятия Квартир не может быть установлен ранее, чем за четырнадцать дней и позднее, чем за один месяц до установленного договором срока передачи Застройщиком Квартиры Участнику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4</w:t>
      </w:r>
      <w:r>
        <w:rPr>
          <w:sz w:val="18"/>
          <w:szCs w:val="18"/>
        </w:rPr>
        <w:t xml:space="preserve">. Не позднее, чем через 1</w:t>
      </w:r>
      <w:r>
        <w:rPr>
          <w:sz w:val="18"/>
          <w:szCs w:val="18"/>
        </w:rPr>
        <w:t xml:space="preserve">0 рабочих дней с момента получения разрешения на ввод Дома в эксплуатацию, передать его в Управление Федеральной Регистрационной службы или его подразделения, для государственной регистрации права собственности Участника долевого строительства на Квартиру.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Государственная регистрация права собственности</w:t>
      </w:r>
      <w:r>
        <w:rPr>
          <w:sz w:val="18"/>
          <w:szCs w:val="18"/>
        </w:rPr>
        <w:t xml:space="preserve"> производится за счет Участника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документы, необходимые для государственной регистрации права собственности на Квартиру.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5</w:t>
      </w:r>
      <w:r>
        <w:rPr>
          <w:sz w:val="18"/>
          <w:szCs w:val="18"/>
        </w:rPr>
        <w:t xml:space="preserve">. Обеспечить сохранность Квартиры и ее комплектации до передачи ее по акту сдачи-приемки Участнику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6</w:t>
      </w:r>
      <w:r>
        <w:rPr>
          <w:sz w:val="18"/>
          <w:szCs w:val="18"/>
        </w:rPr>
        <w:t xml:space="preserve">. Сообщать Участнику долевого строительства по требованию последнего о ходе выполнения работ по строительству Дома, в том числе путем размещения информации на официальном сайте Застройщика.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7</w:t>
      </w:r>
      <w:r>
        <w:rPr>
          <w:sz w:val="18"/>
          <w:szCs w:val="18"/>
        </w:rPr>
        <w:t xml:space="preserve">. 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8</w:t>
      </w:r>
      <w:r>
        <w:rPr>
          <w:sz w:val="18"/>
          <w:szCs w:val="18"/>
        </w:rPr>
        <w:t xml:space="preserve">. В случае явной невозможности завершения строительства Дома в срок, указанный в пункте 3.2 настоящего Договора, не позднее, ч</w:t>
      </w:r>
      <w:r>
        <w:rPr>
          <w:sz w:val="18"/>
          <w:szCs w:val="18"/>
        </w:rPr>
        <w:t xml:space="preserve">ем за два месяца до истечения этого срока, направить в адрес Участника долевого строительства сообщение в письменной форме с предложением об изменении настоящего договора в части увеличения срока, установленного в пункте 3.2, но не более чем на три месяца.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5.1.</w:t>
      </w:r>
      <w:r>
        <w:rPr>
          <w:sz w:val="18"/>
          <w:szCs w:val="18"/>
        </w:rPr>
        <w:t xml:space="preserve">9</w:t>
      </w:r>
      <w:r>
        <w:rPr>
          <w:sz w:val="18"/>
          <w:szCs w:val="18"/>
        </w:rPr>
        <w:t xml:space="preserve">. Исполнять иные обязанности, предусмотренные действующим законодательством.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5.2. Застройщик имеет право: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5.2.1. Передать свои права и обязанности по настоящему Договору третьим лицам только с письменного согласия Участника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5.2.2. Самостоятельно совершать все необходимые для осуществления строительства сдел</w:t>
      </w:r>
      <w:r>
        <w:rPr>
          <w:sz w:val="18"/>
          <w:szCs w:val="18"/>
        </w:rPr>
        <w:t xml:space="preserve">ки с третьими лицами,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пределах, не затрагивающих долю Участника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5.2.3. Вносить в проектную документацию на Дом (Квартиру) незначительные изменения (архитектурные, структурные), а также заменять используемые  строительные, отделочные материалы или оборудование,</w:t>
      </w:r>
      <w:r>
        <w:rPr>
          <w:sz w:val="18"/>
          <w:szCs w:val="18"/>
        </w:rPr>
        <w:t xml:space="preserve"> указанные в проектной документации, на эквивалентные по качеству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 и иным обязательным требованиям.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 Участник долевого строительства обязуется: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5.3.1. Принять долевое участие в финансировании строительства Дома, уплатив цену Договора в размере и порядке, установленных настоящим Договором.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5.3.2. Предоставить все необходимые документы для государстве</w:t>
      </w:r>
      <w:r>
        <w:rPr>
          <w:sz w:val="18"/>
          <w:szCs w:val="18"/>
        </w:rPr>
        <w:t xml:space="preserve">нной регистрации в Управлении Федеральной регистрационной службы по настоящего Договора в течение 5 (пяти) рабочих дней с момента его подписания. Затраты на государственную регистрацию договора Стороны несут в соответствии с действующим законодательством.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5.3.3. После получения сообщения Застройщика о завершении строительства Дома и о готовности Квартиры к передаче и приемке приступить к ее принятию.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5.3.4. После подписания акта приема-передачи Квартиры самостоятельно нести  все расходы по содержанию квартиры, в том числе по содержанию, текущему ремонту общего имущест</w:t>
      </w:r>
      <w:r>
        <w:rPr>
          <w:sz w:val="18"/>
          <w:szCs w:val="18"/>
        </w:rPr>
        <w:t xml:space="preserve">ва в Доме, по управлению Домом, вносить плату за коммунальные услуги, нести иные расходы, связанные с эксплуатацией Квартиры и доли в общем имуществе Дома (включая содержание придомовой территории), исполнять обязанность по уплате всех необходимых налогов.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С момента подписания акта приема-передачи квартиры к Участнику долевого строительства переходит риск случайной гибели и случайного повреждения объекта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В случае необоснованного уклонения Участника долевого строительства от подписания акта приема-передачи Квартир, указанные в настоящем пункте обязанности возникают у Участника долевого строительства, в течение 10 дней с даты получения </w:t>
      </w:r>
      <w:r>
        <w:rPr>
          <w:sz w:val="18"/>
          <w:szCs w:val="18"/>
        </w:rPr>
        <w:t xml:space="preserve">уведомления от Застройщика о завершении строительства Дома и готовности Застройщика к передаче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5.3.5. Самостоятельно и за свой счет произвести действия по государственной регистрации в Управлении Федеральной Регистрационной службы по или его подразделениях своего права собственности на Квартиру.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5.3.6. Сообщить своевременно Застройщику о смене почтов</w:t>
      </w:r>
      <w:r>
        <w:rPr>
          <w:sz w:val="18"/>
          <w:szCs w:val="18"/>
        </w:rPr>
        <w:t xml:space="preserve">ого адреса, указанного в настоящем договоре.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5.3.7. Исполнять иные обязанности, предусмотренные действующим законодательством.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5.4. Участник долевого строительства вправе: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5.4.1. Получать от Застройщика информацию о ходе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5.4.2. Требовать от Застройщика предоставления документов, подтверждающих исполнение Участником долевого строительства своих обязательств по оплате по настоящему Договору.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5.4.4. До подписания акта сдачи-приемки Квартиры потребовать от Застройщика составления акта, в котором указывается несоответствие Квартиры условиям договора, требованиям техниче</w:t>
      </w:r>
      <w:r>
        <w:rPr>
          <w:sz w:val="18"/>
          <w:szCs w:val="18"/>
        </w:rPr>
        <w:t xml:space="preserve">ских регламентов, проектной документации и градостроительных регламентов, а также иным обязательным требованиям, и отказаться от подписания акта сдачи-приемки Квартиры до исполнения Застройщиком обязанностей, предусмотренных пункта 9.5 настоящего Договора.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Качество Квартиры. Гарантия качества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6.1. Качество Квартиры, котор</w:t>
      </w:r>
      <w:r>
        <w:rPr>
          <w:sz w:val="18"/>
          <w:szCs w:val="18"/>
        </w:rPr>
        <w:t xml:space="preserve">ая будет передана Застройщиком Участнику долевого строительства по настоящему Договору, должно соответствовать условиям договора, проектной документации на Дом, требованиям технических и градостроительных регламентов, а также иным обязательным требованиям.</w:t>
      </w:r>
      <w:r>
        <w:rPr>
          <w:sz w:val="18"/>
          <w:szCs w:val="18"/>
        </w:rPr>
      </w:r>
    </w:p>
    <w:p>
      <w:pPr>
        <w:pStyle w:val="884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Участнику долевого строительства отдельно разъяснено и ему понятно, что качество Квартиры будет соответствовать только требованиям стандартов и сводов правил, включенных в </w:t>
      </w:r>
      <w:hyperlink r:id="rId14" w:tooltip="consultantplus://offline/ref=438E959436422F97A296C4DE5C8CC8E80B0990C09C8B3560B2D24A99803321D004A535A2C900C8E5A5F687ADE2744CF4EC7B5108AD7115E3X3jBM" w:history="1">
        <w:r>
          <w:rPr>
            <w:rFonts w:ascii="Times New Roman" w:hAnsi="Times New Roman"/>
            <w:sz w:val="18"/>
            <w:szCs w:val="18"/>
          </w:rPr>
          <w:t xml:space="preserve">перечень</w:t>
        </w:r>
      </w:hyperlink>
      <w:r>
        <w:rPr>
          <w:rFonts w:ascii="Times New Roman" w:hAnsi="Times New Roman"/>
          <w:sz w:val="18"/>
          <w:szCs w:val="18"/>
        </w:rPr>
        <w:t xml:space="preserve"> национальных стандартов и сводов правил (частей таких стандартов </w:t>
      </w:r>
      <w:r>
        <w:rPr>
          <w:rFonts w:ascii="Times New Roman" w:hAnsi="Times New Roman"/>
          <w:sz w:val="18"/>
          <w:szCs w:val="18"/>
        </w:rPr>
        <w:t xml:space="preserve">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утвержденных Постановлением Правительства РФ от 26.12.2014 N 1521.</w:t>
      </w:r>
      <w:r>
        <w:rPr>
          <w:rFonts w:ascii="Times New Roman" w:hAnsi="Times New Roman"/>
          <w:sz w:val="18"/>
          <w:szCs w:val="18"/>
        </w:rPr>
      </w:r>
    </w:p>
    <w:p>
      <w:pPr>
        <w:pStyle w:val="891"/>
        <w:ind w:firstLine="567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Участнику долевого строительства отдельно разъяснено и понятно, что</w:t>
      </w:r>
      <w:r>
        <w:rPr>
          <w:rFonts w:ascii="Times New Roman" w:hAnsi="Times New Roman"/>
          <w:b w:val="0"/>
          <w:sz w:val="18"/>
          <w:szCs w:val="18"/>
        </w:rPr>
        <w:t xml:space="preserve"> качество Квартиры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5" w:tooltip="consultantplus://offline/ref=438E959436422F97A296C4DE5C8CC8E8080D90C298823560B2D24A99803321D016A56DAECB03D6E4A7E3D1FCA4X2j1M" w:history="1">
        <w:r>
          <w:rPr>
            <w:rFonts w:ascii="Times New Roman" w:hAnsi="Times New Roman"/>
            <w:b w:val="0"/>
            <w:sz w:val="18"/>
            <w:szCs w:val="18"/>
          </w:rPr>
          <w:t xml:space="preserve">закона</w:t>
        </w:r>
      </w:hyperlink>
      <w:r>
        <w:rPr>
          <w:rFonts w:ascii="Times New Roman" w:hAnsi="Times New Roman"/>
          <w:b w:val="0"/>
          <w:sz w:val="18"/>
          <w:szCs w:val="18"/>
        </w:rPr>
        <w:t xml:space="preserve"> "Технический регламент о безопасности зданий и сооружений"; утвержденных </w:t>
      </w:r>
      <w:hyperlink r:id="rId16" w:tooltip="consultantplus://offline/ref=438E959436422F97A296C4DE5C8CC8E80B0990C09C8B3560B2D24A99803321D016A56DAECB03D6E4A7E3D1FCA4X2j1M" w:history="1">
        <w:r>
          <w:rPr>
            <w:rFonts w:ascii="Times New Roman" w:hAnsi="Times New Roman"/>
            <w:b w:val="0"/>
            <w:sz w:val="18"/>
            <w:szCs w:val="18"/>
          </w:rPr>
          <w:t xml:space="preserve">Постановлением</w:t>
        </w:r>
      </w:hyperlink>
      <w:r>
        <w:rPr>
          <w:rFonts w:ascii="Times New Roman" w:hAnsi="Times New Roman"/>
          <w:b w:val="0"/>
          <w:sz w:val="18"/>
          <w:szCs w:val="18"/>
        </w:rPr>
        <w:t xml:space="preserve"> Правительства РФ от 26.12.2014 N 1521, б</w:t>
      </w:r>
      <w:r>
        <w:rPr>
          <w:rFonts w:ascii="Times New Roman" w:hAnsi="Times New Roman"/>
          <w:b w:val="0"/>
          <w:sz w:val="18"/>
          <w:szCs w:val="18"/>
        </w:rPr>
        <w:t xml:space="preserve">удет соответствовать требованиям проектной документации, а также стандартам качества Застройщика и АО  «ПЗСП», в том числе, но не исключительно Стандарту «Внутренняя отделка и отделочные покрытия, полы. Правила производства и приемки работ» СТП 2.001-2019.</w:t>
      </w:r>
      <w:r>
        <w:rPr>
          <w:rFonts w:ascii="Times New Roman" w:hAnsi="Times New Roman"/>
          <w:b w:val="0"/>
          <w:sz w:val="18"/>
          <w:szCs w:val="18"/>
        </w:rPr>
      </w:r>
    </w:p>
    <w:p>
      <w:pPr>
        <w:pStyle w:val="884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Участнику долевого строительства отдельно разъяснено и им понятно, что при строительстве жилого дома застройщик не будет р</w:t>
      </w:r>
      <w:r>
        <w:rPr>
          <w:rFonts w:ascii="Times New Roman" w:hAnsi="Times New Roman"/>
          <w:sz w:val="18"/>
          <w:szCs w:val="18"/>
        </w:rPr>
        <w:t xml:space="preserve">уководствоваться и соответственно качество Квартиры не будет соответствовать требованиям документов в области стандартизации, которые применяются на добровольной основе, в том числе при строительстве жилого дома Застройщик не руководствовался требованиями </w:t>
      </w:r>
      <w:hyperlink r:id="rId17" w:tooltip="consultantplus://offline/ref=438E959436422F97A296DBCB598CC8E8080A9CCD92DD6262E387449C88637BC012EC3AA0D700C9FAA4FDD1XFjCM" w:history="1">
        <w:r>
          <w:rPr>
            <w:rFonts w:ascii="Times New Roman" w:hAnsi="Times New Roman"/>
            <w:sz w:val="18"/>
            <w:szCs w:val="18"/>
          </w:rPr>
          <w:t xml:space="preserve">СНиП 3.04.01-87</w:t>
        </w:r>
      </w:hyperlink>
      <w:r>
        <w:rPr>
          <w:rFonts w:ascii="Times New Roman" w:hAnsi="Times New Roman"/>
          <w:sz w:val="18"/>
          <w:szCs w:val="18"/>
        </w:rPr>
        <w:t xml:space="preserve"> "Изоляционные и отделочные покрытия", </w:t>
      </w:r>
      <w:hyperlink r:id="rId18" w:tooltip="consultantplus://offline/ref=438E959436422F97A296DBCB598CC8E80B0A9DC69980686ABA8B469B873C7ED503B435A1CA1EC8E5B8FFD3FEXAj6M" w:history="1">
        <w:r>
          <w:rPr>
            <w:rFonts w:ascii="Times New Roman" w:hAnsi="Times New Roman"/>
            <w:sz w:val="18"/>
            <w:szCs w:val="18"/>
          </w:rPr>
          <w:t xml:space="preserve">СП 71.13330.2011</w:t>
        </w:r>
      </w:hyperlink>
      <w:r>
        <w:rPr>
          <w:rFonts w:ascii="Times New Roman" w:hAnsi="Times New Roman"/>
          <w:sz w:val="18"/>
          <w:szCs w:val="18"/>
        </w:rPr>
        <w:t xml:space="preserve"> "СНиП 3.04.01-87 "Изоляционные и отделочные покрытия" и иных документов в области стандартизации, применяемых на добровольной основе.</w:t>
      </w:r>
      <w:r>
        <w:rPr>
          <w:rFonts w:ascii="Times New Roman" w:hAnsi="Times New Roman"/>
          <w:sz w:val="18"/>
          <w:szCs w:val="18"/>
        </w:rPr>
      </w:r>
    </w:p>
    <w:p>
      <w:pPr>
        <w:pStyle w:val="884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Перед подписанием настоящего договора Участник долевого строительства ознакомился с проектной документацией, стандартами Застройщика и АО «П</w:t>
      </w:r>
      <w:r>
        <w:rPr>
          <w:rFonts w:ascii="Times New Roman" w:hAnsi="Times New Roman"/>
          <w:sz w:val="18"/>
          <w:szCs w:val="18"/>
        </w:rPr>
        <w:t xml:space="preserve">ЗСП», в том числе, но не исключительно со Стандартом «Внутренняя отделка и отделочные покрытия, полы. Правила производства и приемки работ» СТП 2.001-2019, и подтверждает свое согласие на заключение настоящего договора с учетом, требований к качеству недви</w:t>
      </w:r>
      <w:r>
        <w:rPr>
          <w:rFonts w:ascii="Times New Roman" w:hAnsi="Times New Roman"/>
          <w:sz w:val="18"/>
          <w:szCs w:val="18"/>
        </w:rPr>
        <w:t xml:space="preserve">жимого имущества (квартиры), указанных в проектной документации и стандартах качества Застройщика и АО «ПЗСП», в том числе, но не исключительно Стандарту «Внутренняя отделка и отделочные покрытия, полы. Правила производства и приемки работ» СТП 2.001-2019.</w:t>
      </w:r>
      <w:r>
        <w:rPr>
          <w:rFonts w:ascii="Times New Roman" w:hAnsi="Times New Roman"/>
          <w:sz w:val="18"/>
          <w:szCs w:val="18"/>
        </w:rPr>
      </w:r>
    </w:p>
    <w:p>
      <w:pPr>
        <w:pStyle w:val="884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Участник долевого строительства подтвердил свое согласие на заключение договора с учетом требований к качеству Квартиры, указанных в проектной документации и стандартах качества Застройщик</w:t>
      </w:r>
      <w:r>
        <w:rPr>
          <w:rFonts w:ascii="Times New Roman" w:hAnsi="Times New Roman"/>
          <w:sz w:val="18"/>
          <w:szCs w:val="18"/>
        </w:rPr>
        <w:t xml:space="preserve">а и АО «ПЗСП», а также свое согласие с тем, что Застройщик не руководствовался и соответственно качество имущества (квартиры) не будет соответствовать требованиям документов в области стандартизации, которые применяются на добровольной основе, в том числе </w:t>
      </w:r>
      <w:hyperlink r:id="rId19" w:tooltip="consultantplus://offline/ref=438E959436422F97A296DBCB598CC8E8080A9CCD92DD6262E387449C88637BC012EC3AA0D700C9FAA4FDD1XFjCM" w:history="1">
        <w:r>
          <w:rPr>
            <w:rFonts w:ascii="Times New Roman" w:hAnsi="Times New Roman"/>
            <w:sz w:val="18"/>
            <w:szCs w:val="18"/>
          </w:rPr>
          <w:t xml:space="preserve">СНиП 3.04.01-87</w:t>
        </w:r>
      </w:hyperlink>
      <w:r>
        <w:rPr>
          <w:rFonts w:ascii="Times New Roman" w:hAnsi="Times New Roman"/>
          <w:sz w:val="18"/>
          <w:szCs w:val="18"/>
        </w:rPr>
        <w:t xml:space="preserve"> "Изоляционные и отделочные покрытия", </w:t>
      </w:r>
      <w:hyperlink r:id="rId20" w:tooltip="consultantplus://offline/ref=438E959436422F97A296DBCB598CC8E80B0A9DC69980686ABA8B469B873C7ED503B435A1CA1EC8E5B8FFD3FEXAj6M" w:history="1">
        <w:r>
          <w:rPr>
            <w:rFonts w:ascii="Times New Roman" w:hAnsi="Times New Roman"/>
            <w:sz w:val="18"/>
            <w:szCs w:val="18"/>
          </w:rPr>
          <w:t xml:space="preserve">СП 71.13330.2017</w:t>
        </w:r>
      </w:hyperlink>
      <w:r>
        <w:rPr>
          <w:rFonts w:ascii="Times New Roman" w:hAnsi="Times New Roman"/>
          <w:sz w:val="18"/>
          <w:szCs w:val="18"/>
        </w:rPr>
        <w:t xml:space="preserve"> "СНиП 3.04.01-87 "Изоляционные и отделочные покрытия".</w:t>
      </w:r>
      <w:r>
        <w:rPr>
          <w:rFonts w:ascii="Times New Roman" w:hAnsi="Times New Roman"/>
          <w:sz w:val="18"/>
          <w:szCs w:val="18"/>
        </w:rPr>
      </w:r>
    </w:p>
    <w:p>
      <w:pPr>
        <w:pStyle w:val="889"/>
        <w:ind w:right="2" w:firstLine="540"/>
        <w:rPr>
          <w:color w:val="auto"/>
        </w:rPr>
      </w:pPr>
      <w:r>
        <w:rPr>
          <w:color w:val="auto"/>
        </w:rPr>
        <w:t xml:space="preserve">Участник долевого строительства осведомлен и согласен с тем, что качество Квартиры будет отвечать требованиям </w:t>
      </w:r>
      <w:bookmarkStart w:id="4" w:name="_Hlk127542065"/>
      <w:r>
        <w:rPr>
          <w:color w:val="auto"/>
        </w:rPr>
        <w:t xml:space="preserve">Стандарта «Внутренняя отделка и отделочные покрытия, полы. Правила производства и приёмки работ» СТП 2.08-2022</w:t>
      </w:r>
      <w:bookmarkEnd w:id="4"/>
      <w:r>
        <w:rPr>
          <w:color w:val="auto"/>
        </w:rPr>
        <w:t xml:space="preserve">, а цена Квартиры определена с учетом предусмотренных </w:t>
      </w:r>
      <w:bookmarkStart w:id="5" w:name="_Hlk127542162"/>
      <w:r>
        <w:rPr>
          <w:color w:val="auto"/>
        </w:rPr>
        <w:t xml:space="preserve">Стандартом «Внутренняя отделка и отделочные покрытия, полы. Правила производства и приёмки работ» СТП 2.08-2022 </w:t>
      </w:r>
      <w:bookmarkEnd w:id="5"/>
      <w:r>
        <w:rPr>
          <w:color w:val="auto"/>
        </w:rPr>
        <w:t xml:space="preserve">допустимых отклонений, которые превышают пределы допустимых отклонений, предусмотренных СП «СП 71.13330.2017. Свод правил. Изоляционные и отделочные покрытия. Актуализированная редакция СНиП 3.04.01-87».</w:t>
      </w:r>
      <w:r>
        <w:rPr>
          <w:color w:val="auto"/>
        </w:rPr>
      </w:r>
    </w:p>
    <w:p>
      <w:pPr>
        <w:pStyle w:val="889"/>
        <w:ind w:right="2" w:firstLine="540"/>
        <w:rPr>
          <w:color w:val="auto"/>
          <w:spacing w:val="-2"/>
        </w:rPr>
      </w:pPr>
      <w:r>
        <w:rPr>
          <w:color w:val="auto"/>
        </w:rPr>
        <w:t xml:space="preserve">Участник</w:t>
      </w:r>
      <w:r>
        <w:rPr>
          <w:color w:val="auto"/>
          <w:spacing w:val="-6"/>
        </w:rPr>
        <w:t xml:space="preserve"> </w:t>
      </w:r>
      <w:r>
        <w:rPr>
          <w:color w:val="auto"/>
        </w:rPr>
        <w:t xml:space="preserve">долевого</w:t>
      </w:r>
      <w:r>
        <w:rPr>
          <w:color w:val="auto"/>
          <w:spacing w:val="-7"/>
        </w:rPr>
        <w:t xml:space="preserve"> </w:t>
      </w:r>
      <w:r>
        <w:rPr>
          <w:color w:val="auto"/>
        </w:rPr>
        <w:t xml:space="preserve">строительства</w:t>
      </w:r>
      <w:r>
        <w:rPr>
          <w:color w:val="auto"/>
          <w:spacing w:val="-6"/>
        </w:rPr>
        <w:t xml:space="preserve"> </w:t>
      </w:r>
      <w:r>
        <w:rPr>
          <w:color w:val="auto"/>
        </w:rPr>
        <w:t xml:space="preserve">признает</w:t>
      </w:r>
      <w:r>
        <w:rPr>
          <w:color w:val="auto"/>
          <w:spacing w:val="-7"/>
        </w:rPr>
        <w:t xml:space="preserve"> </w:t>
      </w:r>
      <w:r>
        <w:rPr>
          <w:color w:val="auto"/>
        </w:rPr>
        <w:t xml:space="preserve">допустимым</w:t>
      </w:r>
      <w:r>
        <w:rPr>
          <w:color w:val="auto"/>
          <w:spacing w:val="-6"/>
        </w:rPr>
        <w:t xml:space="preserve"> </w:t>
      </w:r>
      <w:r>
        <w:rPr>
          <w:color w:val="auto"/>
        </w:rPr>
        <w:t xml:space="preserve">наличие</w:t>
      </w:r>
      <w:r>
        <w:rPr>
          <w:color w:val="auto"/>
          <w:spacing w:val="-6"/>
        </w:rPr>
        <w:t xml:space="preserve"> </w:t>
      </w:r>
      <w:r>
        <w:rPr>
          <w:color w:val="auto"/>
        </w:rPr>
        <w:t xml:space="preserve">в</w:t>
      </w:r>
      <w:r>
        <w:rPr>
          <w:color w:val="auto"/>
          <w:spacing w:val="-5"/>
        </w:rPr>
        <w:t xml:space="preserve"> </w:t>
      </w:r>
      <w:r>
        <w:rPr>
          <w:color w:val="auto"/>
          <w:spacing w:val="-2"/>
        </w:rPr>
        <w:t xml:space="preserve">Квартире следующих отклонений, предусмотренных Стандартом «Внутренняя отделка и отделочные покрытия, полы. Правила производства и приёмки работ» СТП 2.08-2022:</w:t>
      </w:r>
      <w:r>
        <w:rPr>
          <w:color w:val="auto"/>
          <w:spacing w:val="-2"/>
        </w:rPr>
      </w:r>
    </w:p>
    <w:p>
      <w:pPr>
        <w:pStyle w:val="889"/>
        <w:ind w:left="142" w:right="162"/>
        <w:rPr>
          <w:color w:val="auto"/>
          <w:spacing w:val="-2"/>
        </w:rPr>
      </w:pPr>
      <w:r>
        <w:rPr>
          <w:color w:val="auto"/>
          <w:spacing w:val="-2"/>
        </w:rPr>
      </w:r>
      <w:r>
        <w:rPr>
          <w:color w:val="auto"/>
          <w:spacing w:val="-2"/>
        </w:rPr>
      </w:r>
    </w:p>
    <w:tbl>
      <w:tblPr>
        <w:tblW w:w="10170" w:type="dxa"/>
        <w:tblInd w:w="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695"/>
        <w:gridCol w:w="2797"/>
        <w:gridCol w:w="3402"/>
      </w:tblGrid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проведения работ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работ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Допустимое значение отклонений согласно нормативному документу (справочно)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Допустимое значение по СТП 2 08 - 2022</w:t>
            </w: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Потолок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поверхности потолков в санузлах по железобетонным плитам перекрытий и санитарно-техническим кабинам путем шпатлевания (выполняется только для отделки потолка путем окрашивания если предусмотрено проектом)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7.3.7, табл. 7.5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Допускается наличие следов от абразива, применяемого при шлифовке поверхности, но не глубже 0,3 мм (сплошной визуальный осмотр). Тени от бокового света допускаются.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Допускается наличие царапин, раковин, задиров, следов от инструмента глубиной не более 1 мм (сплошной визуальный осмотр). Тени от бокового света допускаются.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Допускается наличие неровностей поверхности плавного очертания - не нормируется.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Потолок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зависимости от проектного решения выполняется устройство натяжных потолков в комнатах, коридорах, прихожих, кухнях, туалете, ванной, совмещенном санузле, подсобных помещениях (кладовки, гардеробные и т.д.).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поверхности потолков и плит перекрытия в помещениях с натяжными потолками не выполняется.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7.8.4. табл. 7.9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Допускается провисание полотна потолка на 1 м длины диагонали 10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Допускается отклонение плоскости всего поля отделки по диагонали, вертикали и горизонтали (от проектной) на 1 м длины до 1мм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(5мм - на всю поверхность)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Допускается провисание полотна потолка на 1 м длины диагонали 15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Допускается отклонение плоскости всего поля отделки по диагонали, вертикали и горизонтали (от проектной) на 1 м длины до 2мм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 мм- на всю поверхность)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Наличие сварных швов – допускается.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Потолок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Окраска водоэмульсионными составами потолков по подготовленной поверхности в санузлах (если предусмотрено проектом)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 71.13330.2017 пп. 7.5.5, табл. 7.7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Отличие по цвету – в пределах двух тонов по каталогу</w:t>
            </w:r>
            <w:r>
              <w:rPr>
                <w:sz w:val="18"/>
                <w:szCs w:val="18"/>
              </w:rPr>
              <w:br w:type="textWrapping" w:clear="all"/>
              <w:t xml:space="preserve">2.  Полосы, пятна, подтеки, брызги, исправления, выделяющиеся на общем фоне – должны быть незаметны при сплошном визуальном осмотре с расстояния 2 м от поверхности</w:t>
            </w:r>
            <w:r>
              <w:rPr>
                <w:sz w:val="18"/>
                <w:szCs w:val="18"/>
              </w:rPr>
              <w:br w:type="textWrapping" w:clear="all"/>
              <w:t xml:space="preserve">3.  Меление поверхности – не допускается</w:t>
            </w:r>
            <w:r>
              <w:rPr>
                <w:sz w:val="18"/>
                <w:szCs w:val="18"/>
              </w:rPr>
              <w:br w:type="textWrapping" w:clear="all"/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Отличие по цвету – в пределах одного тона по каталогу производителя.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Полосы, пятна, подтеки, брызги, исправления, выделяющиеся на общем фоне – допускается,  Должны быть незаметны при сплошном визуальном осмотре с расстояния 2 м от поверхности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Меление поверхности – не допускается.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поверхности стен во внутренних помещениях по железобетонным панелям, санитарно-техническим кабинам и сборным перегородкам путем оштукатуривания и/или шпатлевания 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пп. 7.2.13, табл. 7.4, пп. 7.3.7, табл. 7.5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Допускается наличие царапин, раковин, задиров, следов от инструмента глубиной не более 1 мм (сплошной визуальный осмотр). Тени от бокового света допускаются.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Отклонение от вертикали – Не более 6 мм на 1 м, но не более 20 мм на всю высоту помещения.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Отклонение по горизонтали – не более 20 мм на 1 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Отклонение оконных и дверных откосов, пилястр, столбов и т.п. от вертикали и горизонтали - на площади 4 м не более 4 мм на 1 м, но не более 10 мм на весь элемент.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Отклонение ширины откоса от проектной – не более 5 мм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Наличие неровностей поверхности плавного очертания – допускаются, не нормируются.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Наличие усадочных, осадочных трещин шириной до 2 мм являющихся следствием процесса естественной усадки, осадки материалов и конструкций дома допускаются, по количеству не нормируются.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отклонен</w:t>
            </w:r>
            <w:r>
              <w:rPr>
                <w:sz w:val="18"/>
                <w:szCs w:val="18"/>
              </w:rPr>
              <w:t xml:space="preserve">ий поверхностей оконных и дверных проемов, вентиляционных шахт и внутренних стен санитарно-технических кабин от плоскости (неровности), вызванных наличием технологических уклонов, являющихся особенностью производства крупнопанельных железобетонных изделий.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керамической плиткой по всему периметру стен до потолка в совмещённых санузлах и ванных комнатах.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ванной плитка не укладывается.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7.4.17, табл. 7.6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Внутренняя облицовка - отклонение от вертикали на 1м длины не менее 1,5 мм;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Отклонения расположения швов от вертикали и горизонтали на 1м длины не менее 1,5 мм;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Не совпадения профиля в стыках деталей и швов на 1м длины не менее 3мм;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Неравномерность плоскости облицовки при контроле 2х м. рейкой не менее 2мм.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Внутренняя облицовка - отклонение от вертикали на 1м длины не менее 3 мм;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Отклонения расположения швов от вертикали и горизонтали на 1м длины не менее 3 мм;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Не совпадения профиля в стыках деталей и швов на 1м длины не менее 5мм;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Неравномерность плоскости облицовки при контроле 2х м. рейкой не менее 4мм.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Оклеивание обоями по подготовленной поверхности в комнатах, кухнях, коридорах, подсобных помещениях (кладовки, гардеробные и т.д.)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7.6.15,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6810-2002 пп. 6.1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воздушных пузырей, замятин, пятен и других загрязнений, а также доклеек и отслоений – не допускаются (по результатам визуального осмотра).</w:t>
            </w:r>
            <w:r>
              <w:rPr>
                <w:sz w:val="18"/>
                <w:szCs w:val="18"/>
              </w:rPr>
              <w:br w:type="textWrapping" w:clear="all"/>
              <w:t xml:space="preserve">2.  Наличие разнооттеночности, в пределах одной партии - не допускаются.</w:t>
            </w:r>
            <w:r>
              <w:rPr>
                <w:sz w:val="18"/>
                <w:szCs w:val="18"/>
              </w:rPr>
              <w:br w:type="textWrapping" w:clear="all"/>
              <w:t xml:space="preserve">3.  Наличие усадочных трещин шириной до 1 мм являющихся следствием процесса естественной усадки конструкций дома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 визуальном осмотре на поверхности оклеенной обоями не допускают воздушные пузыр</w:t>
            </w:r>
            <w:r>
              <w:rPr>
                <w:sz w:val="18"/>
                <w:szCs w:val="18"/>
              </w:rPr>
              <w:t xml:space="preserve">и, замятины, пятна и другие загрязнения. Допускается доклейка обоев, наличие под поверхностью обоев твердых включений диаметром не более 1 см. и незначительное (видимое с расстояния более 2 метров) отслоение полотнищ обоев, отступление кромок обоев 0,5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Наличие разнооттеночности обоев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Наличие локальных отслоений обоев (преимущественно в местах стыков)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Наличие несовпадений линий рисунка обоев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Наличие замятий и порывов, вызванных усадочными, осадочными трещинами шириной до 2 мм, являющимися следствием процесса естественной усадки, осадки материалов и конструкций дома.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Допускается доклейки, отсутствие обоев за приборами отопления.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Допускается стыковка обоев на внешних и во внутренних углах.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поверхности пола в комнатах, кухнях, коридорах подсобных помещениях (кладовки, гардеробные и т.д.) по железобетонным плитам путем устройства стяжки (под линолеум)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8.7, табл. 8.5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просветов между контрольной двухметровой рейкой и проверяемой поверхностью элементов пола – не более 2 мм.</w:t>
            </w:r>
            <w:r>
              <w:rPr>
                <w:sz w:val="18"/>
                <w:szCs w:val="18"/>
              </w:rPr>
              <w:br w:type="textWrapping" w:clear="all"/>
              <w:t xml:space="preserve">2.  Отклонение плоскости элемента от горизонтали– не более 0,2% соответствующего размера помещения и не более 20 мм</w:t>
            </w:r>
            <w:r>
              <w:rPr>
                <w:sz w:val="18"/>
                <w:szCs w:val="18"/>
              </w:rPr>
              <w:br w:type="textWrapping" w:clear="all"/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просветов между контрольной двухметровой рейкой и проверяемой поверхностью элементов пола – не более 6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Отклонение плоскости элемента от горизонтали – не более 0,3% соответствующего размера помещения и не более 20 мм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Наличие волосяных трещин по стяжке допускается, не нормируется.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поверхности пола в санузлах и ванных комнатах по железобетонным плитам и санитарно-техническим кабинам путем устройства стяжки (под плитку)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8.7, табл. 8.5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просветов между контрольной двухметровой рейкой и проверяемой поверхностью элементов пола – не более 4 мм.</w:t>
            </w:r>
            <w:r>
              <w:rPr>
                <w:sz w:val="18"/>
                <w:szCs w:val="18"/>
              </w:rPr>
              <w:br w:type="textWrapping" w:clear="all"/>
              <w:t xml:space="preserve">2.  Отклонение плоскости элемента от горизонтали– не более 0,2% соответствующего размера помещения и не более 20 мм.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просветов между контрольной двухметровой рейкой и проверяемой поверхностью элементов пола – не более 6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Отклонение плоскости элемента от горизонтали– не более 0,3% соответствующего размера помещения и не более 20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Наличие волосяных трещин по стяжке допускается, не нормируется.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покрытий полов линолеумом в комнатах, кухнях, коридорах, подсобных помещениях (кладовки, гардеробные и т.д.)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8.11.3, 8.11.4, табл. 8.9, табл. 8.15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поперечных (перпендикулярных движению) швов в зонах интенсивного движения пешеходов – не допускается.</w:t>
            </w:r>
            <w:r>
              <w:rPr>
                <w:sz w:val="18"/>
                <w:szCs w:val="18"/>
              </w:rPr>
              <w:br w:type="textWrapping" w:clear="all"/>
              <w:t xml:space="preserve">2.  Наличие уступов и зазоров смежных полотнищ - не допускается. Линии стыков должны быть прямолинейные.</w:t>
            </w:r>
            <w:r>
              <w:rPr>
                <w:sz w:val="18"/>
                <w:szCs w:val="18"/>
              </w:rPr>
              <w:br w:type="textWrapping" w:clear="all"/>
              <w:t xml:space="preserve">3.  Сварные швы линолеума должны располагаться по направлению света окон и не иметь разрывов и прогаров.</w:t>
            </w:r>
            <w:r>
              <w:rPr>
                <w:sz w:val="18"/>
                <w:szCs w:val="18"/>
              </w:rPr>
              <w:br w:type="textWrapping" w:clear="all"/>
              <w:t xml:space="preserve">4.  Сварные швы в пределах дверных проемов – допускаются.</w:t>
            </w:r>
            <w:r>
              <w:rPr>
                <w:sz w:val="18"/>
                <w:szCs w:val="18"/>
              </w:rPr>
              <w:br w:type="textWrapping" w:clear="all"/>
              <w:t xml:space="preserve">5.  На лицевой поверхности линолеума не должно быть несмываемых пятен и царапин.</w:t>
            </w:r>
            <w:r>
              <w:rPr>
                <w:sz w:val="18"/>
                <w:szCs w:val="18"/>
              </w:rPr>
              <w:br w:type="textWrapping" w:clear="all"/>
              <w:t xml:space="preserve">6.  Зазоры и щели между плинтусами и покрытием пола или стенами (перегородками) – не допускаются.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Для помещений площадью не более 20 м2 допускается применение сухой укладки линолеума.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Кромки стыкуемых полотнищ линолеума должны быть после прирезки сварены или склеены.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Допускается расхождение полотнищ линолеума (отсутствие сварки или склейки) общей длиной не более 5 см по всей длине стыкуемых полотнищ.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Попадание инородных частиц под покрытие допускается не более 1 на 3 м2 площади пола.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При устройстве покрытий из полимерных материалов допускается зазор от края стен и дверных коробок до 5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Зазоры и щели между плинтусами и покрытием пола или стенами (перегородками), между смежными кромками полотнищ линолеума, ковров, рулонных материалов и плиток (ПВХ)</w:t>
            </w:r>
            <w:r>
              <w:rPr>
                <w:sz w:val="18"/>
                <w:szCs w:val="18"/>
              </w:rPr>
              <w:tab/>
              <w:t xml:space="preserve">Допускаются не более 5 мм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Сварные швы преимущественно располагать по направлению света окон и в пределах дверных проемов. Устройство сварных швов поперек направления света окон – допускается. Наличие разрывов и прогаров – не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На лицевой поверхности линолеума не должно быть несмываемых пятен и царапин, заметных на расстоянии 3 м. (по результатам визуального осмотра без применения дополнительных средств).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Зазоры и щели между плинтусами порожками, дверными коробками и покрытием пола или стенами (перегородками) – допускаются.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Допускаются отклонения поверхности покрытия от плоскости до 8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Поверхности покрытия могут иметь выбоины, трещины, волны, вздутия, приподнятые кромки допускается, не нормируется.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облицовочных покрытий полов из керамического гранита или керамических плиток в санузлах и ванных комнатах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71.13330.2017 пп. 7.4.20, табл. 7.6, пп. 8.14.1, табл. 8.15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Отклонение расположения швов от вертикали и горизонтали – не более 1,5 мм на 1 м длины.</w:t>
            </w:r>
            <w:r>
              <w:rPr>
                <w:sz w:val="18"/>
                <w:szCs w:val="18"/>
              </w:rPr>
              <w:br w:type="textWrapping" w:clear="all"/>
              <w:t xml:space="preserve">2.  Неровности плоскости облицовки (при контроле двухметровой рейкой) – не более 2 мм.</w:t>
            </w:r>
            <w:r>
              <w:rPr>
                <w:sz w:val="18"/>
                <w:szCs w:val="18"/>
              </w:rPr>
              <w:br w:type="textWrapping" w:clear="all"/>
              <w:t xml:space="preserve">3.  Отклонение ширины шва – не более +/- 0,5 мм</w:t>
            </w:r>
            <w:r>
              <w:rPr>
                <w:sz w:val="18"/>
                <w:szCs w:val="18"/>
              </w:rPr>
              <w:br w:type="textWrapping" w:clear="all"/>
              <w:t xml:space="preserve">4.  Наличие изменений характера звучания при проверке сцепления покрытий из жестких плиточных материалов с нижележащими элементами пола простукиванием – не допускается.</w:t>
            </w:r>
            <w:r>
              <w:rPr>
                <w:sz w:val="18"/>
                <w:szCs w:val="18"/>
              </w:rPr>
              <w:br w:type="textWrapping" w:clear="all"/>
              <w:t xml:space="preserve">5.  Уступы между смежными плитками керамических (керамогранитных) - не более 1 мм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Отклонение расположения швов от вертикали и горизонтали – не более 10 мм на 10 м длины.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Отклонения от заданного уклона покрытий не более 0,3% соответствующего размера помещения, но не более 20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Наличие изменений характера звучания при проверке сцепления покрытий из жестких плиточных материалов с нижележащими элементами пола простукиванием –допускается.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Уступы между смежными плитками керамических (керамогранитных) - не более 3 мм.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Входная дверь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Монтируется металлическая входная дверь с запорным механизмом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31173-2016, пп. 6.10, табл. 10, пп. 5.1.3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Толщина металла наружного листа устанавливается в зависимости от функционального назначения дверного блока, рекомендуемая толщина металла – не менее 1,5 мм.</w:t>
            </w:r>
            <w:r>
              <w:rPr>
                <w:sz w:val="18"/>
                <w:szCs w:val="18"/>
              </w:rPr>
              <w:br w:type="textWrapping" w:clear="all"/>
              <w:t xml:space="preserve">2.  Наличие мал</w:t>
            </w:r>
            <w:r>
              <w:rPr>
                <w:sz w:val="18"/>
                <w:szCs w:val="18"/>
              </w:rPr>
              <w:t xml:space="preserve">означительных дефектов (устранимые дефекты: незначительные повреждения поверхности, неотрегулированные дверные приборы и петли, превышение предельных отклонений размеров, установленных в нормативных документах, менее чем в 1,5 раза) до 3 шт. – допускается.</w:t>
            </w:r>
            <w:r>
              <w:rPr>
                <w:sz w:val="18"/>
                <w:szCs w:val="18"/>
              </w:rPr>
              <w:br w:type="textWrapping" w:clear="all"/>
              <w:t xml:space="preserve">3.  Отклонение от вертикали и горизонтали профилей коробок смонтированных изделий не должно превышать 1,5 мм на 1 м длины, но не более 3 мм на высоту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Толщина металла наружного листа – не менее 1,2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Наличие малозначительных дефектов (незначительные повреждения поверхности, неотрегулированные дверные приборы и петли, превышение предельных отклонений размеров, установленных в нормативных документах)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Отклонение от вертикали и горизонтали профилей коробок смонтированных изделий не должно превышать 5 мм на 1 м длины, но не более 15 мм на высоту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Межкомнатные двери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Монтируются дверные блоки, ламинированные.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475-2016, пп. 5.3.3, табл. 4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Отклонение установленного дверного блока от вертикальности и горизонтальности в плоскости и из плоскости проема должно быть не более 2 мм на 1 м длины.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Отклонение установленного дверного блока от вертикальности и горизонтальности в плоскости и из плоскости проема должно быть не более 5 мм на 1 м длины.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Наличие малозначительных дефектов (повреждения ламинации, вмятины, царапины), неотрегулированные дверные приборы и петли, превышение предельных отклонений размеров, установленных в нормативных документах, менее чем в 2 раза) до 5 шт.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Наличие зазоров между дверным полотном и поверхностью пола – до 15 мм -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Наличие зазоров между дверной коробкой, наличником, добором и поверхностью пола – до 15 мм - допускается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Крепление доборных элементов и наличников с помощью герметиков, клеев, гвоздей (в т.ч. на лицевой части)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Допускается зазор между дверным полотном и дверной коробкой до 6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Допускается разнотон в цвете дверей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Допускается зазор между наличником и стеной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Допускаются зазоры между смежными наличниками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Окна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Монтируются оконные блоки из ПВХ профилей, со стеклопакетами, подоконником и отделкой откосов сэндвич-панелью.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30678-99, пп. 5.3.5, 7.2.4, Г.6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Сварные швы ПВХ профилей не должны иметь поджогов, непроваренных участков, трещин. Изменение цвета ПВХ профилей в местах сварных швов после их зачистки не допускается.</w:t>
            </w:r>
            <w:r>
              <w:rPr>
                <w:sz w:val="18"/>
                <w:szCs w:val="18"/>
              </w:rPr>
              <w:br w:type="textWrapping" w:clear="all"/>
              <w:t xml:space="preserve">2.  Разность цвета, глянца и дефекты поверхности ПВХ профилей, различимые невооруженным глазом с расстояния (0,6-0,8) м при естественном освещении не менее 300 лк, не допускаются.</w:t>
            </w:r>
            <w:r>
              <w:rPr>
                <w:sz w:val="18"/>
                <w:szCs w:val="18"/>
              </w:rPr>
              <w:br w:type="textWrapping" w:clear="all"/>
              <w:t xml:space="preserve">3.  Отклонение оконного блока от вертикали до 1,5 мм на 1 м допускается</w:t>
            </w:r>
            <w:r>
              <w:rPr>
                <w:sz w:val="18"/>
                <w:szCs w:val="18"/>
              </w:rPr>
              <w:br w:type="textWrapping" w:clear="all"/>
              <w:t xml:space="preserve">4.  Отклонение от прямолинейности кромок деталей рамочных элементов 1 мм на 1 м.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дефектов (риски, царапины, усадочные раковины, следы монтажной пены и др.) на ПВХ профилях и стеклопакетах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Сварные швы ПВХ профилей не должны иметь поджогов, непроваренных участков, трещин. Изменение цвета ПВХ профилей, в т.ч. в местах сварных швов после их зачистки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Разность цвета, глянца и дефекты поверхности ПВХ профилей, различимые с расстояния 3 м при естественном освещении по результатам визуального осмотра без применения дополнительных средств – не допускаются.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Отклонение оконного блока от вертикали до 5 мм на всё изделие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Отклонение от прямолинейности кромок деталей рамочных элементов 3 мм на 1 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Вылет подоконных досок относительно поверхностей стен и откосов не менее 50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Допускается наличие защитной пленки на оконной конструкции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Допускаются следы коррозии на металлических отливах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Монтируется остекление в рамах из ПВХ и алюминиевых профилей, с одинарным стеклом, отделка ограждений и стен в соответствии с фасадными решениями, пол и потолок – железобетонные панели (плиты) без стяжки и финишного покрытия.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30678-99, пп. 5.3.5, 7.2.4, Г.6 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Монтаж остекления выполняется в соответствии с требованиями к внутренним оконным блокам из ПВХ профилей.</w:t>
            </w:r>
            <w:r>
              <w:rPr>
                <w:sz w:val="18"/>
                <w:szCs w:val="18"/>
              </w:rPr>
              <w:br w:type="textWrapping" w:clear="all"/>
              <w:t xml:space="preserve">2.  Выравнивание поверхностей стен, полов и потолков не выполняется (допускается наличие дефектов по железобетонным панелям (плитам) не влияющих на их несущую способность в т.ч. рустов, впадин, царапин, раковин, задиров, перепадов плит до 30 мм и т.д.).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Монтаж остекления лоджий ГОСТ не регламентирует.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Выравнивание поверхностей стен, полов и потолков не выполняется (допускается наличие дефектов по железобетонным панелям (плитам) не влияющих на их несущую способность в т.ч. рустов, впадин, царапин, раковин, задиров, и т.д.).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Допускаются следы коррозии на металлических элементах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Отделка и герметизация лоджий не выполняются.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Допускается наличие остатков герметика, стиза, следов краски на стенах, полу и потолке.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Балконный порог является декоративным элементом.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Электроснабжение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внутренняя разводка электроосвещения, устанавлив</w:t>
            </w:r>
            <w:r>
              <w:rPr>
                <w:sz w:val="18"/>
                <w:szCs w:val="18"/>
              </w:rPr>
              <w:t xml:space="preserve">ается квартирный электрощиток с электрическим счетчиком и устройствами защиты, выполняется электроразводка в т.ч. для подключения электрической плиты, устанавливаются оконечные приборы (выключатели и розетки). Установка приборов освещения не предусмотрена.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внутренняя разводка отопительной системы с установкой радиаторных обогревателей и установкой приборов учета тепловой энергии.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73.13330.2016 пп. 6.1.5., 6.1.14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механических повреждений, потеков, пузырей, включений, растрескиваний, шагрени, непрокрашенных участков, других дефектов, характерных для лакокрасочного покрытия и влияющих на его свойства – не допускается.</w:t>
            </w:r>
            <w:r>
              <w:rPr>
                <w:sz w:val="18"/>
                <w:szCs w:val="18"/>
              </w:rPr>
              <w:br w:type="textWrapping" w:clear="all"/>
              <w:t xml:space="preserve">2.  Края гильз должны быть на одном уровне с поверхностями стен, перегородок и потолков и на 30 мм выше поверхности чистого пола.</w:t>
            </w:r>
            <w:r>
              <w:rPr>
                <w:sz w:val="18"/>
                <w:szCs w:val="18"/>
              </w:rPr>
              <w:br w:type="textWrapping" w:clear="all"/>
              <w:t xml:space="preserve">3.  Вертикальные трубопроводы не должны иметь отклонение от вертикали более чем на 2 мм на 1 м длины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Наличие механических повреждений покрытий трубопроводов, потеков, пузырей, включений, растрескиваний, шагрени, непрокрашенных участков, других дефектов, характерных для лакокрасочного покрытия и влияющих на его свойства – допускается.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Отклонение установленного прибора отопления от горизонтали допускается на 3%.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Допускается наличие царапин на корпусе прибора отопления размером до 10мм на верхней и боковых поверхностях и до 50 мм на задней и нижней поверхности корпуса прибора.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Допускаются следы монтажной пены и краски на внешнем корпусе прибора отопления.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Допускается наличие окалины, наплывов и подрезов сварных швов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Края гильз могут быть на разном уровне с поверхностями стен, перегородок и потолков и до 40 мм выше поверхности чистого пола.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Допускается локальный ремонт дефектов поверхности приборов отопления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Вертикальные трубопроводы не должны иметь отклонение от вертикали более чем на 10 мм на 1 м длины.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При установке отопительного прибора под окном его край со стороны стояка может выходить за пределы оконного проема. При этом совмещение вертикальных осей симметрии отопительных приборов и оконных проемов необязательно.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и горячее водоснабжение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монтаж стояков, ответвлений до квартирных узлов учета, внутренней разводки и запорно-регулирующей арматуры (краны и смесители). Квартирные узлы учета монтируются с шаровым краном, сетчатым фильтром и счетчиком.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73.13330.2016 пп. 6.1.5., 6.1.6., 6.1.14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  <w:br w:type="textWrapping" w:clear="all"/>
              <w:t xml:space="preserve">2.  Края гильз должны быть на одном уровне с поверхностями стен, перегородок и потолков и на 30 мм выше поверхности чистого пола.</w:t>
            </w:r>
            <w:r>
              <w:rPr>
                <w:sz w:val="18"/>
                <w:szCs w:val="18"/>
              </w:rPr>
              <w:br w:type="textWrapping" w:clear="all"/>
              <w:t xml:space="preserve">3.  Вертикальные трубопроводы не должны иметь отклонение от вертикали более чем на 2 мм на 1 м длины.</w:t>
            </w:r>
            <w:r>
              <w:rPr>
                <w:sz w:val="18"/>
                <w:szCs w:val="18"/>
              </w:rPr>
              <w:br w:type="textWrapping" w:clear="all"/>
              <w:t xml:space="preserve">4.  Расстояние от поверхности штукатурки или облицовки до оси неизолированных трубопроводов при открытой прокладке должно быть в пределах:</w:t>
            </w:r>
            <w:r>
              <w:rPr>
                <w:sz w:val="18"/>
                <w:szCs w:val="18"/>
              </w:rPr>
              <w:br w:type="textWrapping" w:clear="all"/>
              <w:t xml:space="preserve">- от 35 до 55 мм при диаметре условного прохода до 32 мм включительно;</w:t>
            </w:r>
            <w:r>
              <w:rPr>
                <w:sz w:val="18"/>
                <w:szCs w:val="18"/>
              </w:rPr>
              <w:br w:type="textWrapping" w:clear="all"/>
              <w:t xml:space="preserve">- от 50 до 60 мм при диаметрах 40-50 мм.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Края гильз могут быть на разном уровне с поверхностями стен, перегородок и потолков и до 40 мм выше поверхности чистого пола.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Вертикальные трубопроводы не должны иметь отклонение от вертикали более чем на 10 мм на 1 м длины.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Расстояние от поверхности штукатурки или облицовки до оси неизолированных трубопроводов при открытой прокладке должно быть в пределах: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 менее 30 мм при диаметре условного прохода до 32 мм включительно;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 менее 50 мм при диаметрах 40-50 мм.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Допускается температурная деформация трубопроводов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монтаж стояков, внутренней разводки и санитарно-технического оборудования (унитазов, раковин, ванн, моек и т.д.).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73.13330.2016 пп. 6.1.5., 6.1.6.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  <w:br w:type="textWrapping" w:clear="all"/>
              <w:t xml:space="preserve">2.  Вертикальные трубопроводы не должны иметь отклонение от вертикали более чем на 2 мм на 1 м длины.</w:t>
            </w:r>
            <w:r>
              <w:rPr>
                <w:sz w:val="18"/>
                <w:szCs w:val="18"/>
              </w:rPr>
              <w:br w:type="textWrapping" w:clear="all"/>
              <w:t xml:space="preserve">3.  Расстояние от поверхности штукатурки или облицовки до оси неизолированных трубопроводов при открытой прокладке устанавливаются проектной документацией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Вертикальные трубопроводы не должны иметь отклонение от вертикали более чем на 10 мм на 1 м длины.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Расстояние от поверхности штукатурки или облицовки до оси неизолированных трубопроводов при открытой прокладке устанавливаются проектной документацией.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монтаж вентиляционных шахт и каналов (согласно проектной документации), устанавливаются вентиляционные решетки.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73.13330.2016 пп. 6.5.7.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  <w:br w:type="textWrapping" w:clear="all"/>
              <w:t xml:space="preserve">2.  Отклонение воздуховодов от вертикали не должно превышать 2 мм на 1 м длины воздуховода.</w:t>
            </w:r>
            <w:r>
              <w:rPr>
                <w:sz w:val="18"/>
                <w:szCs w:val="18"/>
              </w:rPr>
              <w:br w:type="textWrapping" w:clear="all"/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Отклонение воздуховодов от вертикали не должно превышать 10 мм на 1 м длины воздуховода.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Автоматика пожаротушения и дымоудаления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Монтируются пожарные извещатели (в соответствии с проектной документацией).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в соответствии с проектной документацией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Слаботочные сети (радиофикация, телевизионная антенна)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Выполняется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в соответствии с проектной документацией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в соответствии с проектной документацией.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электрических плит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5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договором.</w:t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97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</w:tr>
    </w:tbl>
    <w:p>
      <w:pPr>
        <w:ind w:firstLine="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6.2. Гарантийный срок на Квартиру, за исключением технологического и инженерного оборудования, входящего в состав квартиры, составля</w:t>
      </w:r>
      <w:r>
        <w:rPr>
          <w:sz w:val="18"/>
          <w:szCs w:val="18"/>
        </w:rPr>
        <w:t xml:space="preserve">ет пять лет со дня передачи Квартиры Участнику долевого строительства.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</w:t>
      </w:r>
      <w:r>
        <w:rPr>
          <w:sz w:val="18"/>
          <w:szCs w:val="18"/>
        </w:rPr>
        <w:t xml:space="preserve">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6.3. Гарантийный срок на технологическое и инженерное оборудование, входящее в состав квартиры составляет три года со дня передачи Квартиры Участнику долевого строительства.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6.4. Гарантийн</w:t>
      </w:r>
      <w:r>
        <w:rPr>
          <w:sz w:val="18"/>
          <w:szCs w:val="18"/>
        </w:rPr>
        <w:t xml:space="preserve">ый срок на отделочные материалы, приборы учета, установочные изделия и оборудование, оконные конструкции и конструкции балконов/лоджий, остекление балконов/лоджий, санфаянс, дверные блоки, фурнитуру оконных, балконных конструкций, дверных конструкций опред</w:t>
      </w:r>
      <w:r>
        <w:rPr>
          <w:sz w:val="18"/>
          <w:szCs w:val="18"/>
        </w:rPr>
        <w:t xml:space="preserve">еляется в соответствии с гарантийными сроками, установленными заводами-изготовителями в паспорте изделия. В случае отсутствия установленных гарантийных сроков и/или истечения гарантийных сроков на момент передачи Квартиры Участнику долевого строительства и</w:t>
      </w:r>
      <w:r>
        <w:rPr>
          <w:sz w:val="18"/>
          <w:szCs w:val="18"/>
        </w:rPr>
        <w:t xml:space="preserve">/или в случае, если на дату передачи Квартиры установленный заводом-изготовителем неистекший период гарантийного срока составляет менее 12 месяцев, гарантийный срок составляет 12 месяцев со дня получения Застройщиком разрешения на ввод Дома в эксплуатацию.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6.5.</w:t>
      </w:r>
      <w:r>
        <w:rPr>
          <w:sz w:val="18"/>
          <w:szCs w:val="18"/>
        </w:rPr>
        <w:tab/>
        <w:t xml:space="preserve">Стороны согласовали следующий способ устранения выявленных в течение гарантийного срока скрытых недостатков: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6.5.1.</w:t>
      </w:r>
      <w:r>
        <w:rPr>
          <w:sz w:val="18"/>
          <w:szCs w:val="18"/>
        </w:rPr>
        <w:tab/>
        <w:t xml:space="preserve">При обнаружении в течение гарантийного срока скрытых недостатко</w:t>
      </w:r>
      <w:r>
        <w:rPr>
          <w:sz w:val="18"/>
          <w:szCs w:val="18"/>
        </w:rPr>
        <w:t xml:space="preserve">в Квартиры и/или общедомового имущества Участник долевого строительства первоначально предъявляет Застройщику требование о безвозмездном устранении недостатков. Все обнаруженные в течение гарантийного срока недостатки, которые не могли быть выявлены при ос</w:t>
      </w:r>
      <w:r>
        <w:rPr>
          <w:sz w:val="18"/>
          <w:szCs w:val="18"/>
        </w:rPr>
        <w:t xml:space="preserve">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долевого строительства об этих недостатках.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6.5.2.</w:t>
      </w:r>
      <w:r>
        <w:rPr>
          <w:sz w:val="18"/>
          <w:szCs w:val="18"/>
        </w:rPr>
        <w:tab/>
        <w:t xml:space="preserve">Участник долевого строительства вправе предъявить иные требования, предусмотренные статьей 7 ФЗ №214-ФЗ «Об участии </w:t>
      </w:r>
      <w:r>
        <w:rPr>
          <w:sz w:val="18"/>
          <w:szCs w:val="18"/>
        </w:rPr>
        <w:t xml:space="preserve">в долевом строительстве многоквартирных домов и иных объектов недвижимости» от 30.12.2004 г. только в случае, если Застройщиком не исполнено требование о безвозмездном устранении недостатков в срок, установленный настоящим договором или соглашением Сторон.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6.6.</w:t>
      </w:r>
      <w:r>
        <w:rPr>
          <w:sz w:val="18"/>
          <w:szCs w:val="18"/>
        </w:rPr>
        <w:tab/>
        <w:t xml:space="preserve">При заключении настоящего договора Участник долевого строительства ознакомлен с содержанием Инструкции по эксплуатации Квартиры (Инструкция по эксплуатации в виде электронного документа размещена на сайте: </w:t>
      </w:r>
      <w:hyperlink r:id="rId21" w:tooltip="https://pzsp.ru/" w:history="1">
        <w:r>
          <w:rPr>
            <w:rStyle w:val="862"/>
            <w:color w:val="auto"/>
            <w:sz w:val="18"/>
            <w:szCs w:val="18"/>
          </w:rPr>
          <w:t xml:space="preserve">https://pzsp.ru/</w:t>
        </w:r>
      </w:hyperlink>
      <w:r>
        <w:rPr>
          <w:sz w:val="18"/>
          <w:szCs w:val="18"/>
        </w:rPr>
        <w:t xml:space="preserve">).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Срок действия Договора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7.1. Настоящий Договор вступает в силу с момента его государственной регистрации. 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7.2. Действие настоящего Договора прекращается с момента выполнения Сторонами своих обязательств, предусмотренных настоящим Договором.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Прекращение настоящего договора, согласно настоящему пункту,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Расторжение договора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8.1. Настоящий договор может быть расторгнут по соглашению сторон, о чем между Сторонами составляется соглашение о расторжении, которое вступает в силу с момента его государственной регистрации.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8.2. В случае существенного нарушения Участником долевого строительства условий пункта 4.3 настоящего договора Застройщик вправе в одностороннем порядке раст</w:t>
      </w:r>
      <w:r>
        <w:rPr>
          <w:sz w:val="18"/>
          <w:szCs w:val="18"/>
        </w:rPr>
        <w:t xml:space="preserve">оргнуть настоящий договор. В этом случае договор считается расторгнутым в порядке и в сроки, указанные в части 3 статьи 9 Федерального закона «Об участии в долевом строительстве многоквартирных домов и иных объектов недвижимости…» от 30.12.2004 г. №214-ФЗ.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Стороны согласны, что существенным нарушением Участником долевого строительства условий пункта 4.3 договора считается нарушение Участником долевого строительства срока внесения платежей более чем на 60 (Шестьдесят) календарных дней.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8.3. Настоящий договор может быть расторгнут по требованию Участника долевого строительства в случае нарушения срока ввода Дома в эксплуатацию более чем на 2 (Два) месяца, а также в иных установленных законом случаях.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8.4. В случае прекращения договора счета эскроу по основаниям, предусмотренным частью 7 статьи 15.5. Федерального закона № 214-ФЗ от 30.12.2004 года «Об участии в долевом строительстве многоквартирных домов и иных объектов недвижимост</w:t>
      </w:r>
      <w:r>
        <w:rPr>
          <w:sz w:val="18"/>
          <w:szCs w:val="18"/>
        </w:rPr>
        <w:t xml:space="preserve">и и о внесении изменений в некоторые законодательные акты Российской Федерации»,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</w:t>
      </w:r>
      <w:r>
        <w:rPr>
          <w:sz w:val="18"/>
          <w:szCs w:val="18"/>
        </w:rPr>
        <w:t xml:space="preserve">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</w:t>
      </w:r>
      <w:r>
        <w:rPr>
          <w:sz w:val="18"/>
          <w:szCs w:val="18"/>
        </w:rPr>
        <w:t xml:space="preserve">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эскроу должен содержать информацию о банковском счете депонента, </w:t>
      </w:r>
      <w:r>
        <w:rPr>
          <w:sz w:val="18"/>
          <w:szCs w:val="18"/>
        </w:rPr>
        <w:t xml:space="preserve">на который перечисляются денежные средства, а также информацию о залогодержателе и реквизиты залогового счета, на который эскроу-агентом перечисляются денежные средства, если договор участия в долевом строительстве содержит указание на использование участн</w:t>
      </w:r>
      <w:r>
        <w:rPr>
          <w:sz w:val="18"/>
          <w:szCs w:val="18"/>
        </w:rPr>
        <w:t xml:space="preserve">иком долевого строительства заемных средств для оплаты цены договора участия в долевом строительстве,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</w:t>
      </w:r>
      <w:r>
        <w:rPr>
          <w:sz w:val="18"/>
          <w:szCs w:val="18"/>
        </w:rPr>
        <w:t xml:space="preserve">иям, предусмотренным частью 7 статьи 15.5. 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Ответственность Сторон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9.1. Стороны несут ответственность по своим обязательствам в соответствии с действующим законодательством РФ.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9.2. При нарушении Участником долевого строительства установленных договором сроков внесения платежа последний уплачивает Застройщику неустойку (пени) в размере одной трехсотой </w:t>
      </w:r>
      <w:hyperlink r:id="rId22" w:tooltip="consultantplus://offline/ref=35CBAB08913F02AC658F469D8248B5862FD4D5E98176610DA174C87Cs1CAH" w:history="1">
        <w:r>
          <w:rPr>
            <w:sz w:val="18"/>
            <w:szCs w:val="18"/>
          </w:rPr>
          <w:t xml:space="preserve">ставки рефинансирования</w:t>
        </w:r>
      </w:hyperlink>
      <w:r>
        <w:rPr>
          <w:sz w:val="18"/>
          <w:szCs w:val="18"/>
        </w:rPr>
        <w:t xml:space="preserve"> Центрального банка РФ, действующей на день исполнения обязательства, от суммы просроченного платежа за каждый день просрочки.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9.3. При нарушении Застройщиком срока передачи Участнику долевого строительства объекта долевого строительства Застройщик уплачивае</w:t>
      </w:r>
      <w:r>
        <w:rPr>
          <w:sz w:val="18"/>
          <w:szCs w:val="18"/>
        </w:rPr>
        <w:t xml:space="preserve">т Участнику долевого строительства неустойку (пени) за каждый день просрочки в размере, предусмотренном частью 2 статьи 6 Федерального закона «Об участии в долевом строительстве многоквартирных домов и иных объектов недвижимости…» от 30.12.2004 г. №214-ФЗ.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9.4. В случае, если Дом и/или Квартира построен Застройщиком с существенным отступлениями от условий договора или иных обязательных </w:t>
      </w:r>
      <w:r>
        <w:rPr>
          <w:sz w:val="18"/>
          <w:szCs w:val="18"/>
        </w:rPr>
        <w:t xml:space="preserve">требований, приведшими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>
        <w:rPr>
          <w:sz w:val="18"/>
          <w:szCs w:val="18"/>
        </w:rPr>
        <w:tab/>
        <w:t xml:space="preserve">безвозмездного устранения недостатков в разумный срок;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>
        <w:rPr>
          <w:sz w:val="18"/>
          <w:szCs w:val="18"/>
        </w:rPr>
        <w:tab/>
        <w:t xml:space="preserve">соразмерного уменьшения цены договора;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>
        <w:rPr>
          <w:sz w:val="18"/>
          <w:szCs w:val="18"/>
        </w:rPr>
        <w:tab/>
        <w:t xml:space="preserve">возмещения своих расходов на устранение недостатков;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>
        <w:rPr>
          <w:sz w:val="18"/>
          <w:szCs w:val="18"/>
        </w:rPr>
        <w:tab/>
        <w:t xml:space="preserve">расторжения настоящего договора с оплатой процентов в соответствии с п.2 ст.9 ФЗ №214-ФЗ «Об участии в долевом строительстве многоквартирных домов и иных объектов недвижимости» от 30.12.2004 г.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Освобождение от ответственности (форс-мажор).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10.1. Наступление обстоятельств непреодолимой силы (форс-мажор): стихийные бедствия, эпидемии, наводнения, землетрясени</w:t>
      </w:r>
      <w:r>
        <w:rPr>
          <w:sz w:val="18"/>
          <w:szCs w:val="18"/>
        </w:rPr>
        <w:t xml:space="preserve">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Наличие указанных обстоятельств должно подтверждаться документами, выданными соответствующим уполномоченным органом.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Уступка прав требований по договору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11.1.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Перевод долга на нового участника долевого строительства допускается только с письменного согласия Застройщика.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11.2.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сдачи-приемки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Заключительные положения</w:t>
      </w:r>
      <w:r>
        <w:rPr>
          <w:b/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12.1. Любая информа</w:t>
      </w:r>
      <w:r>
        <w:rPr>
          <w:sz w:val="18"/>
          <w:szCs w:val="18"/>
        </w:rPr>
        <w:t xml:space="preserve">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12.2. Обо всех изменениях в платежных, почтовых и</w:t>
      </w:r>
      <w:r>
        <w:rPr>
          <w:sz w:val="18"/>
          <w:szCs w:val="18"/>
        </w:rPr>
        <w:t xml:space="preserve"> других реквизитах Участник долевого строительства обязан в течение 10 дней известить Застройщика. 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12.4. Во всем остальном, что не предусмотрено настоящим Договором, Стороны руководствуются действующим законодательством РФ.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12.5. Стороны вправе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12.6. Наименования статей настоящего Догово</w:t>
      </w:r>
      <w:r>
        <w:rPr>
          <w:sz w:val="18"/>
          <w:szCs w:val="18"/>
        </w:rPr>
        <w:t xml:space="preserve">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12.7. Обязательства Застройщика считаются исполненными с момента подписания сторонами акта сдачи-приемки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сдачи-приемки Квартиры.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12.8. Настоящий Договор составлен в двух экземплярах, один из которых для Застройщика и один для Участника долевого строительства. Все экземпляры имеют равную юридическую силу и являются оригиналами.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К настоящему договору прилагаются: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Приложение №1 – план объекта долевого строительства (Квартиры);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- Приложение №2 – условия гарантийных обязательств Застройщика.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12.9. Участник долевого строительства</w:t>
      </w:r>
      <w:r>
        <w:rPr>
          <w:sz w:val="18"/>
          <w:szCs w:val="18"/>
        </w:rPr>
        <w:t xml:space="preserve"> дает свое согласие в соответствии с Федеральным законом от 27.07.2006 г. №152-ФЗ «О персональных данных» на обработку своих персональных данных, содержащихся в документах, передаваемых Застройщику, а также выражает согласие на передачу этих данных Банку, </w:t>
      </w:r>
      <w:r>
        <w:rPr>
          <w:sz w:val="18"/>
          <w:szCs w:val="18"/>
        </w:rPr>
        <w:t xml:space="preserve">в котором у Застройщика открыт расчетный счет, органу, осуществляющему государственную регистрацию прав на недвижимость, а также третьим лицам, с которыми Застройщик может взаимодействовать в целях исполнения настоящего Договора. Стороны определили и подтв</w:t>
      </w:r>
      <w:r>
        <w:rPr>
          <w:sz w:val="18"/>
          <w:szCs w:val="18"/>
        </w:rPr>
        <w:t xml:space="preserve">ерждают, что в состав персональных данных Участника долевого строительства входят: дата и место рождения Участника долевого строительства, сведения о месте регистрации и проживания Участника долевого строительства, паспортные данные Участника долевого стро</w:t>
      </w:r>
      <w:r>
        <w:rPr>
          <w:sz w:val="18"/>
          <w:szCs w:val="18"/>
        </w:rPr>
        <w:t xml:space="preserve">ительства и документ, удостоверяющий личность Участника долевого строительства, сведения и документ о семейном положении, о составе членов семьи Участника долевого строительства, документ, удостоверяющий личность членов семьи Участника долевого строительст</w:t>
      </w:r>
      <w:r>
        <w:rPr>
          <w:sz w:val="18"/>
          <w:szCs w:val="18"/>
        </w:rPr>
        <w:t xml:space="preserve">ва, условия настоящего Договора и согласованный Участником долевого строительства с Застройщиком способ оплаты по настоящему Договору, а также иные сведения  и документы, требующиеся в целях исполнения настоящего Договора. Обработка персональных данных осу</w:t>
      </w:r>
      <w:r>
        <w:rPr>
          <w:sz w:val="18"/>
          <w:szCs w:val="18"/>
        </w:rPr>
        <w:t xml:space="preserve">ществляется посредством сбора, систематизации, накопления, хранения, уточнения (обновления, изменения), использования, распространения, в том числе передачи, обезличивания, блокирования, уничтожения персональных данных, как на бумажных, так и электронных н</w:t>
      </w:r>
      <w:r>
        <w:rPr>
          <w:sz w:val="18"/>
          <w:szCs w:val="18"/>
        </w:rPr>
        <w:t xml:space="preserve">осителях. Указанное согласие действительно в течение пяти лет после окончания действия настоящего Договора.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заявления.</w:t>
      </w:r>
      <w:r>
        <w:rPr>
          <w:sz w:val="18"/>
          <w:szCs w:val="18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12.10. Участник долевого строительства подтверждает, что все условия настоящего Договора и приложений к нему им внимательно прочитаны перед подписанием и понятны.</w:t>
      </w:r>
      <w:r>
        <w:rPr>
          <w:sz w:val="18"/>
          <w:szCs w:val="18"/>
        </w:rPr>
      </w:r>
    </w:p>
    <w:p>
      <w:pPr>
        <w:ind w:firstLine="0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796"/>
      </w:tblGrid>
      <w:tr>
        <w:trPr>
          <w:trHeight w:val="300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 w:clear="all"/>
            </w:r>
            <w:r>
              <w:rPr>
                <w:b/>
                <w:sz w:val="18"/>
                <w:szCs w:val="18"/>
              </w:rPr>
              <w:t xml:space="preserve">13. Адреса и реквизиты Сторон</w:t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</w:p>
          <w:p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Застройщик:</w:t>
            </w:r>
            <w:r>
              <w:rPr>
                <w:bCs/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«Специализированный застройщик «ПЗСП-Ижевск»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426000, Удмуртская республика, г. Ижевск, ул. Пушкинская, д. 277, оф. 7.1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426000, Удмуртская республика, г. Ижевск, ул. Пушкинская, д. 277, оф. 7.1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1831191525 / 183101001 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40702810849770043843 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Волго-Вятский банк ПАО Сбербанк г.Нижний Новгород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30101810900000000603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042202603</w:t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bookmarkStart w:id="6" w:name="Орг_телефон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тел.: +7 (342) 213-73-10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/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_____________________________/</w:t>
            </w:r>
            <w:r>
              <w:rPr>
                <w:sz w:val="18"/>
                <w:szCs w:val="18"/>
              </w:rPr>
              <w:fldChar w:fldCharType="begin"/>
            </w:r>
            <w:bookmarkStart w:id="7" w:name="Орг_ответлиц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Шолохова Инна Леонидовна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/</w:t>
            </w:r>
            <w:r>
              <w:rPr>
                <w:sz w:val="18"/>
                <w:szCs w:val="18"/>
              </w:rPr>
            </w:r>
          </w:p>
        </w:tc>
      </w:tr>
    </w:tbl>
    <w:p>
      <w:pPr>
        <w:ind w:firstLine="0"/>
        <w:tabs>
          <w:tab w:val="left" w:pos="0" w:leader="none"/>
          <w:tab w:val="clear" w:pos="567" w:leader="none"/>
        </w:tabs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53" w:firstLine="0"/>
        <w:tabs>
          <w:tab w:val="clear" w:pos="567" w:leader="none"/>
        </w:tabs>
        <w:rPr>
          <w:b/>
          <w:sz w:val="21"/>
          <w:szCs w:val="22"/>
          <w:lang w:eastAsia="en-US"/>
        </w:rPr>
      </w:pPr>
      <w:r>
        <w:rPr>
          <w:b/>
          <w:sz w:val="21"/>
          <w:szCs w:val="22"/>
          <w:lang w:eastAsia="en-US"/>
        </w:rPr>
        <w:t xml:space="preserve">Участник</w:t>
      </w:r>
      <w:r>
        <w:rPr>
          <w:b/>
          <w:spacing w:val="-5"/>
          <w:sz w:val="21"/>
          <w:szCs w:val="22"/>
          <w:lang w:eastAsia="en-US"/>
        </w:rPr>
        <w:t xml:space="preserve"> </w:t>
      </w:r>
      <w:r>
        <w:rPr>
          <w:b/>
          <w:sz w:val="21"/>
          <w:szCs w:val="22"/>
          <w:lang w:eastAsia="en-US"/>
        </w:rPr>
        <w:t xml:space="preserve">долевого</w:t>
      </w:r>
      <w:r>
        <w:rPr>
          <w:b/>
          <w:spacing w:val="-4"/>
          <w:sz w:val="21"/>
          <w:szCs w:val="22"/>
          <w:lang w:eastAsia="en-US"/>
        </w:rPr>
        <w:t xml:space="preserve"> </w:t>
      </w:r>
      <w:r>
        <w:rPr>
          <w:b/>
          <w:spacing w:val="-2"/>
          <w:sz w:val="21"/>
          <w:szCs w:val="22"/>
          <w:lang w:eastAsia="en-US"/>
        </w:rPr>
        <w:t xml:space="preserve">строительства:</w:t>
      </w:r>
      <w:r>
        <w:rPr>
          <w:b/>
          <w:sz w:val="21"/>
          <w:szCs w:val="22"/>
          <w:lang w:eastAsia="en-US"/>
        </w:rPr>
      </w:r>
    </w:p>
    <w:p>
      <w:pPr>
        <w:ind w:firstLine="0"/>
        <w:jc w:val="left"/>
        <w:spacing w:before="1"/>
        <w:tabs>
          <w:tab w:val="clear" w:pos="567" w:leader="none"/>
        </w:tabs>
        <w:rPr>
          <w:sz w:val="13"/>
          <w:szCs w:val="21"/>
          <w:lang w:eastAsia="en-US"/>
        </w:rPr>
      </w:pPr>
      <w:r>
        <w:rPr>
          <w:sz w:val="13"/>
          <w:szCs w:val="21"/>
          <w:lang w:eastAsia="en-US"/>
        </w:rPr>
      </w:r>
      <w:r>
        <w:rPr>
          <w:sz w:val="13"/>
          <w:szCs w:val="21"/>
          <w:lang w:eastAsia="en-US"/>
        </w:rPr>
      </w:r>
    </w:p>
    <w:p>
      <w:pPr>
        <w:ind w:left="119" w:firstLine="0"/>
        <w:jc w:val="left"/>
        <w:spacing w:before="91"/>
        <w:tabs>
          <w:tab w:val="clear" w:pos="567" w:leader="none"/>
          <w:tab w:val="left" w:pos="3689" w:leader="none"/>
        </w:tabs>
        <w:rPr>
          <w:sz w:val="21"/>
          <w:szCs w:val="21"/>
          <w:lang w:eastAsia="en-US"/>
        </w:rPr>
      </w:pPr>
      <w:r>
        <w:rPr>
          <w:sz w:val="21"/>
          <w:szCs w:val="21"/>
          <w:u w:val="single"/>
          <w:lang w:eastAsia="en-US"/>
        </w:rPr>
        <w:tab/>
      </w:r>
      <w:r>
        <w:rPr>
          <w:sz w:val="21"/>
          <w:szCs w:val="21"/>
          <w:lang w:eastAsia="en-US"/>
        </w:rPr>
        <w:t xml:space="preserve">/</w:t>
      </w:r>
      <w:r>
        <w:rPr>
          <w:spacing w:val="45"/>
          <w:sz w:val="21"/>
          <w:szCs w:val="21"/>
          <w:lang w:eastAsia="en-US"/>
        </w:rPr>
        <w:t xml:space="preserve"> ________________</w:t>
      </w:r>
      <w:r>
        <w:rPr>
          <w:spacing w:val="-4"/>
          <w:sz w:val="21"/>
          <w:szCs w:val="21"/>
          <w:lang w:eastAsia="en-US"/>
        </w:rPr>
        <w:t xml:space="preserve">/</w:t>
      </w:r>
      <w:r>
        <w:rPr>
          <w:sz w:val="21"/>
          <w:szCs w:val="21"/>
          <w:lang w:eastAsia="en-US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sectPr>
      <w:footerReference w:type="default" r:id="rId9"/>
      <w:footnotePr/>
      <w:endnotePr/>
      <w:type w:val="nextPage"/>
      <w:pgSz w:w="11909" w:h="16834" w:orient="portrait"/>
      <w:pgMar w:top="567" w:right="567" w:bottom="567" w:left="1134" w:header="284" w:footer="283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2</w:t>
    </w:r>
    <w:r>
      <w:rPr>
        <w:sz w:val="22"/>
        <w:szCs w:val="22"/>
      </w:rPr>
      <w:fldChar w:fldCharType="end"/>
    </w:r>
    <w:r>
      <w:rPr>
        <w:sz w:val="22"/>
        <w:szCs w:val="22"/>
      </w:rPr>
    </w:r>
  </w:p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510"/>
        <w:tabs>
          <w:tab w:val="num" w:pos="86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pPr>
      <w:ind w:firstLine="567"/>
      <w:jc w:val="both"/>
      <w:widowControl w:val="off"/>
      <w:tabs>
        <w:tab w:val="left" w:pos="567" w:leader="none"/>
      </w:tabs>
    </w:pPr>
    <w:rPr>
      <w:sz w:val="24"/>
      <w:szCs w:val="24"/>
      <w:lang w:eastAsia="ru-RU"/>
    </w:rPr>
  </w:style>
  <w:style w:type="paragraph" w:styleId="686">
    <w:name w:val="Heading 1"/>
    <w:basedOn w:val="685"/>
    <w:next w:val="685"/>
    <w:link w:val="88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687">
    <w:name w:val="Heading 2"/>
    <w:basedOn w:val="685"/>
    <w:next w:val="685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8">
    <w:name w:val="Heading 3"/>
    <w:basedOn w:val="685"/>
    <w:next w:val="685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9">
    <w:name w:val="Heading 4"/>
    <w:basedOn w:val="685"/>
    <w:next w:val="685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685"/>
    <w:next w:val="685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1">
    <w:name w:val="Heading 6"/>
    <w:basedOn w:val="685"/>
    <w:next w:val="685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685"/>
    <w:next w:val="685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685"/>
    <w:next w:val="685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685"/>
    <w:next w:val="685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2 Char"/>
    <w:basedOn w:val="695"/>
    <w:uiPriority w:val="9"/>
    <w:rPr>
      <w:rFonts w:ascii="Arial" w:hAnsi="Arial" w:eastAsia="Arial" w:cs="Arial"/>
      <w:sz w:val="34"/>
    </w:rPr>
  </w:style>
  <w:style w:type="character" w:styleId="699" w:customStyle="1">
    <w:name w:val="Heading 3 Char"/>
    <w:basedOn w:val="695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Heading 4 Char"/>
    <w:basedOn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Heading 5 Char"/>
    <w:basedOn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Heading 6 Char"/>
    <w:basedOn w:val="695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Heading 7 Char"/>
    <w:basedOn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Heading 8 Char"/>
    <w:basedOn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Heading 9 Char"/>
    <w:basedOn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Subtitle Char"/>
    <w:basedOn w:val="695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character" w:styleId="71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link w:val="687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link w:val="688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85"/>
    <w:uiPriority w:val="34"/>
    <w:qFormat/>
    <w:pPr>
      <w:contextualSpacing/>
      <w:ind w:left="720"/>
    </w:pPr>
  </w:style>
  <w:style w:type="paragraph" w:styleId="721">
    <w:name w:val="No Spacing"/>
    <w:uiPriority w:val="1"/>
    <w:qFormat/>
  </w:style>
  <w:style w:type="paragraph" w:styleId="722">
    <w:name w:val="Title"/>
    <w:basedOn w:val="685"/>
    <w:next w:val="685"/>
    <w:link w:val="886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723" w:customStyle="1">
    <w:name w:val="Title Char"/>
    <w:uiPriority w:val="10"/>
    <w:rPr>
      <w:sz w:val="48"/>
      <w:szCs w:val="48"/>
    </w:rPr>
  </w:style>
  <w:style w:type="paragraph" w:styleId="724">
    <w:name w:val="Subtitle"/>
    <w:basedOn w:val="685"/>
    <w:next w:val="685"/>
    <w:link w:val="725"/>
    <w:uiPriority w:val="11"/>
    <w:qFormat/>
    <w:pPr>
      <w:spacing w:before="200" w:after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basedOn w:val="685"/>
    <w:next w:val="685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685"/>
    <w:next w:val="685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basedOn w:val="685"/>
    <w:link w:val="887"/>
    <w:pPr>
      <w:tabs>
        <w:tab w:val="center" w:pos="4677" w:leader="none"/>
        <w:tab w:val="right" w:pos="9355" w:leader="none"/>
      </w:tabs>
    </w:pPr>
  </w:style>
  <w:style w:type="character" w:styleId="731" w:customStyle="1">
    <w:name w:val="Header Char"/>
    <w:uiPriority w:val="99"/>
  </w:style>
  <w:style w:type="paragraph" w:styleId="732">
    <w:name w:val="Footer"/>
    <w:basedOn w:val="685"/>
    <w:link w:val="888"/>
    <w:pPr>
      <w:tabs>
        <w:tab w:val="center" w:pos="4677" w:leader="none"/>
        <w:tab w:val="right" w:pos="9355" w:leader="none"/>
      </w:tabs>
    </w:pPr>
  </w:style>
  <w:style w:type="character" w:styleId="733" w:customStyle="1">
    <w:name w:val="Footer Char"/>
    <w:uiPriority w:val="99"/>
  </w:style>
  <w:style w:type="paragraph" w:styleId="734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>
    <w:name w:val="Table Grid"/>
    <w:basedOn w:val="696"/>
    <w:pPr>
      <w:widowControl w:val="off"/>
    </w:pPr>
    <w:rPr>
      <w:rFonts w:ascii="Arial" w:hAnsi="Arial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2">
    <w:name w:val="Hyperlink"/>
    <w:rPr>
      <w:color w:val="0000ff"/>
      <w:u w:val="single"/>
    </w:rPr>
  </w:style>
  <w:style w:type="paragraph" w:styleId="863">
    <w:name w:val="footnote text"/>
    <w:basedOn w:val="685"/>
    <w:link w:val="864"/>
    <w:uiPriority w:val="99"/>
    <w:semiHidden/>
    <w:unhideWhenUsed/>
    <w:pPr>
      <w:spacing w:after="40"/>
    </w:pPr>
    <w:rPr>
      <w:sz w:val="18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685"/>
    <w:link w:val="867"/>
    <w:uiPriority w:val="99"/>
    <w:semiHidden/>
    <w:unhideWhenUsed/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685"/>
    <w:next w:val="685"/>
    <w:uiPriority w:val="39"/>
    <w:unhideWhenUsed/>
    <w:pPr>
      <w:ind w:firstLine="0"/>
      <w:spacing w:after="57"/>
    </w:pPr>
  </w:style>
  <w:style w:type="paragraph" w:styleId="870">
    <w:name w:val="toc 2"/>
    <w:basedOn w:val="685"/>
    <w:next w:val="685"/>
    <w:uiPriority w:val="39"/>
    <w:unhideWhenUsed/>
    <w:pPr>
      <w:ind w:left="283" w:firstLine="0"/>
      <w:spacing w:after="57"/>
    </w:pPr>
  </w:style>
  <w:style w:type="paragraph" w:styleId="871">
    <w:name w:val="toc 3"/>
    <w:basedOn w:val="685"/>
    <w:next w:val="685"/>
    <w:uiPriority w:val="39"/>
    <w:unhideWhenUsed/>
    <w:pPr>
      <w:ind w:left="567" w:firstLine="0"/>
      <w:spacing w:after="57"/>
    </w:pPr>
  </w:style>
  <w:style w:type="paragraph" w:styleId="872">
    <w:name w:val="toc 4"/>
    <w:basedOn w:val="685"/>
    <w:next w:val="685"/>
    <w:uiPriority w:val="39"/>
    <w:unhideWhenUsed/>
    <w:pPr>
      <w:ind w:left="850" w:firstLine="0"/>
      <w:spacing w:after="57"/>
    </w:pPr>
  </w:style>
  <w:style w:type="paragraph" w:styleId="873">
    <w:name w:val="toc 5"/>
    <w:basedOn w:val="685"/>
    <w:next w:val="685"/>
    <w:uiPriority w:val="39"/>
    <w:unhideWhenUsed/>
    <w:pPr>
      <w:ind w:left="1134" w:firstLine="0"/>
      <w:spacing w:after="57"/>
    </w:pPr>
  </w:style>
  <w:style w:type="paragraph" w:styleId="874">
    <w:name w:val="toc 6"/>
    <w:basedOn w:val="685"/>
    <w:next w:val="685"/>
    <w:uiPriority w:val="39"/>
    <w:unhideWhenUsed/>
    <w:pPr>
      <w:ind w:left="1417" w:firstLine="0"/>
      <w:spacing w:after="57"/>
    </w:pPr>
  </w:style>
  <w:style w:type="paragraph" w:styleId="875">
    <w:name w:val="toc 7"/>
    <w:basedOn w:val="685"/>
    <w:next w:val="685"/>
    <w:uiPriority w:val="39"/>
    <w:unhideWhenUsed/>
    <w:pPr>
      <w:ind w:left="1701" w:firstLine="0"/>
      <w:spacing w:after="57"/>
    </w:pPr>
  </w:style>
  <w:style w:type="paragraph" w:styleId="876">
    <w:name w:val="toc 8"/>
    <w:basedOn w:val="685"/>
    <w:next w:val="685"/>
    <w:uiPriority w:val="39"/>
    <w:unhideWhenUsed/>
    <w:pPr>
      <w:ind w:left="1984" w:firstLine="0"/>
      <w:spacing w:after="57"/>
    </w:pPr>
  </w:style>
  <w:style w:type="paragraph" w:styleId="877">
    <w:name w:val="toc 9"/>
    <w:basedOn w:val="685"/>
    <w:next w:val="685"/>
    <w:uiPriority w:val="39"/>
    <w:unhideWhenUsed/>
    <w:pPr>
      <w:ind w:left="2268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685"/>
    <w:next w:val="685"/>
    <w:uiPriority w:val="99"/>
    <w:unhideWhenUsed/>
  </w:style>
  <w:style w:type="paragraph" w:styleId="880">
    <w:name w:val="Balloon Text"/>
    <w:basedOn w:val="685"/>
    <w:link w:val="881"/>
    <w:semiHidden/>
    <w:rPr>
      <w:rFonts w:ascii="Tahoma" w:hAnsi="Tahoma"/>
      <w:sz w:val="16"/>
      <w:szCs w:val="16"/>
    </w:rPr>
  </w:style>
  <w:style w:type="character" w:styleId="881" w:customStyle="1">
    <w:name w:val="Текст выноски Знак"/>
    <w:link w:val="880"/>
    <w:semiHidden/>
    <w:rPr>
      <w:rFonts w:ascii="Tahoma" w:hAnsi="Tahoma"/>
      <w:sz w:val="16"/>
      <w:szCs w:val="16"/>
    </w:rPr>
  </w:style>
  <w:style w:type="paragraph" w:styleId="882" w:customStyle="1">
    <w:name w:val="Обычный + Arial разреженный на 0;5 пункта"/>
    <w:basedOn w:val="685"/>
    <w:pPr>
      <w:ind w:firstLine="851"/>
    </w:pPr>
  </w:style>
  <w:style w:type="paragraph" w:styleId="883" w:customStyle="1">
    <w:name w:val="ConsPlusNonformat"/>
    <w:rPr>
      <w:rFonts w:ascii="Courier New" w:hAnsi="Courier New"/>
      <w:lang w:eastAsia="ru-RU"/>
    </w:rPr>
  </w:style>
  <w:style w:type="paragraph" w:styleId="884" w:customStyle="1">
    <w:name w:val="ConsPlusNormal"/>
    <w:pPr>
      <w:ind w:firstLine="720"/>
    </w:pPr>
    <w:rPr>
      <w:rFonts w:ascii="Arial" w:hAnsi="Arial"/>
      <w:lang w:eastAsia="ru-RU"/>
    </w:rPr>
  </w:style>
  <w:style w:type="character" w:styleId="885" w:customStyle="1">
    <w:name w:val="Заголовок 1 Знак"/>
    <w:link w:val="686"/>
    <w:rPr>
      <w:rFonts w:ascii="Cambria" w:hAnsi="Cambria" w:eastAsia="Times New Roman"/>
      <w:b/>
      <w:bCs/>
      <w:sz w:val="32"/>
      <w:szCs w:val="32"/>
    </w:rPr>
  </w:style>
  <w:style w:type="character" w:styleId="886" w:customStyle="1">
    <w:name w:val="Название Знак"/>
    <w:link w:val="722"/>
    <w:rPr>
      <w:rFonts w:ascii="Cambria" w:hAnsi="Cambria" w:eastAsia="Times New Roman"/>
      <w:b/>
      <w:bCs/>
      <w:sz w:val="32"/>
      <w:szCs w:val="32"/>
    </w:rPr>
  </w:style>
  <w:style w:type="character" w:styleId="887" w:customStyle="1">
    <w:name w:val="Верхний колонтитул Знак"/>
    <w:link w:val="730"/>
    <w:rPr>
      <w:rFonts w:ascii="Arial" w:hAnsi="Arial"/>
    </w:rPr>
  </w:style>
  <w:style w:type="character" w:styleId="888" w:customStyle="1">
    <w:name w:val="Нижний колонтитул Знак"/>
    <w:link w:val="732"/>
    <w:rPr>
      <w:rFonts w:ascii="Arial" w:hAnsi="Arial"/>
    </w:rPr>
  </w:style>
  <w:style w:type="paragraph" w:styleId="889">
    <w:name w:val="Body Text"/>
    <w:basedOn w:val="685"/>
    <w:link w:val="890"/>
    <w:semiHidden/>
    <w:pPr>
      <w:ind w:firstLine="0"/>
      <w:spacing w:before="80"/>
      <w:tabs>
        <w:tab w:val="clear" w:pos="567" w:leader="none"/>
      </w:tabs>
    </w:pPr>
    <w:rPr>
      <w:color w:val="00000a"/>
      <w:sz w:val="18"/>
      <w:szCs w:val="18"/>
      <w:lang w:eastAsia="ar-SA"/>
    </w:rPr>
  </w:style>
  <w:style w:type="character" w:styleId="890" w:customStyle="1">
    <w:name w:val="Основной текст Знак"/>
    <w:link w:val="889"/>
    <w:semiHidden/>
    <w:rPr>
      <w:color w:val="00000a"/>
      <w:sz w:val="18"/>
      <w:szCs w:val="18"/>
      <w:lang w:eastAsia="ar-SA"/>
    </w:rPr>
  </w:style>
  <w:style w:type="paragraph" w:styleId="891" w:customStyle="1">
    <w:name w:val="ConsPlusTitle"/>
    <w:pPr>
      <w:widowControl w:val="off"/>
    </w:pPr>
    <w:rPr>
      <w:rFonts w:ascii="Calibri" w:hAnsi="Calibri"/>
      <w:b/>
      <w:sz w:val="22"/>
      <w:lang w:eastAsia="ru-RU"/>
    </w:rPr>
  </w:style>
  <w:style w:type="character" w:styleId="892">
    <w:name w:val="annotation reference"/>
    <w:semiHidden/>
    <w:rPr>
      <w:sz w:val="16"/>
      <w:szCs w:val="16"/>
    </w:rPr>
  </w:style>
  <w:style w:type="paragraph" w:styleId="893">
    <w:name w:val="annotation text"/>
    <w:basedOn w:val="685"/>
    <w:link w:val="894"/>
    <w:semiHidden/>
    <w:rPr>
      <w:sz w:val="20"/>
      <w:szCs w:val="20"/>
    </w:rPr>
  </w:style>
  <w:style w:type="character" w:styleId="894" w:customStyle="1">
    <w:name w:val="Текст примечания Знак"/>
    <w:basedOn w:val="695"/>
    <w:link w:val="893"/>
    <w:semiHidden/>
  </w:style>
  <w:style w:type="paragraph" w:styleId="895">
    <w:name w:val="annotation subject"/>
    <w:basedOn w:val="893"/>
    <w:next w:val="893"/>
    <w:link w:val="896"/>
    <w:semiHidden/>
    <w:rPr>
      <w:b/>
      <w:bCs/>
    </w:rPr>
  </w:style>
  <w:style w:type="character" w:styleId="896" w:customStyle="1">
    <w:name w:val="Тема примечания Знак"/>
    <w:link w:val="895"/>
    <w:semiHidden/>
    <w:rPr>
      <w:b/>
      <w:bCs/>
    </w:rPr>
  </w:style>
  <w:style w:type="table" w:styleId="897" w:customStyle="1">
    <w:name w:val="TableStyle0"/>
    <w:rPr>
      <w:rFonts w:ascii="Arial" w:hAnsi="Arial"/>
      <w:sz w:val="16"/>
      <w:szCs w:val="22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8" w:customStyle="1">
    <w:name w:val="Неразрешенное упоминание1"/>
    <w:semiHidden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Escrow_Sberbank@sberbank.ru" TargetMode="Externa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4" Type="http://schemas.openxmlformats.org/officeDocument/2006/relationships/hyperlink" Target="consultantplus://offline/ref=438E959436422F97A296C4DE5C8CC8E80B0990C09C8B3560B2D24A99803321D004A535A2C900C8E5A5F687ADE2744CF4EC7B5108AD7115E3X3jBM" TargetMode="External"/><Relationship Id="rId15" Type="http://schemas.openxmlformats.org/officeDocument/2006/relationships/hyperlink" Target="consultantplus://offline/ref=438E959436422F97A296C4DE5C8CC8E8080D90C298823560B2D24A99803321D016A56DAECB03D6E4A7E3D1FCA4X2j1M" TargetMode="External"/><Relationship Id="rId16" Type="http://schemas.openxmlformats.org/officeDocument/2006/relationships/hyperlink" Target="consultantplus://offline/ref=438E959436422F97A296C4DE5C8CC8E80B0990C09C8B3560B2D24A99803321D016A56DAECB03D6E4A7E3D1FCA4X2j1M" TargetMode="External"/><Relationship Id="rId17" Type="http://schemas.openxmlformats.org/officeDocument/2006/relationships/hyperlink" Target="consultantplus://offline/ref=438E959436422F97A296DBCB598CC8E8080A9CCD92DD6262E387449C88637BC012EC3AA0D700C9FAA4FDD1XFjCM" TargetMode="External"/><Relationship Id="rId18" Type="http://schemas.openxmlformats.org/officeDocument/2006/relationships/hyperlink" Target="consultantplus://offline/ref=438E959436422F97A296DBCB598CC8E80B0A9DC69980686ABA8B469B873C7ED503B435A1CA1EC8E5B8FFD3FEXAj6M" TargetMode="External"/><Relationship Id="rId19" Type="http://schemas.openxmlformats.org/officeDocument/2006/relationships/hyperlink" Target="consultantplus://offline/ref=438E959436422F97A296DBCB598CC8E8080A9CCD92DD6262E387449C88637BC012EC3AA0D700C9FAA4FDD1XFjCM" TargetMode="External"/><Relationship Id="rId20" Type="http://schemas.openxmlformats.org/officeDocument/2006/relationships/hyperlink" Target="consultantplus://offline/ref=438E959436422F97A296DBCB598CC8E80B0A9DC69980686ABA8B469B873C7ED503B435A1CA1EC8E5B8FFD3FEXAj6M" TargetMode="External"/><Relationship Id="rId21" Type="http://schemas.openxmlformats.org/officeDocument/2006/relationships/hyperlink" Target="https://pzsp.ru/" TargetMode="External"/><Relationship Id="rId22" Type="http://schemas.openxmlformats.org/officeDocument/2006/relationships/hyperlink" Target="consultantplus://offline/ref=35CBAB08913F02AC658F469D8248B5862FD4D5E98176610DA174C87Cs1CA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Мехтиева Эльвира Исмихановна</dc:creator>
  <cp:lastModifiedBy>Сасина Полина</cp:lastModifiedBy>
  <cp:revision>3</cp:revision>
  <dcterms:created xsi:type="dcterms:W3CDTF">2023-09-14T06:10:00Z</dcterms:created>
  <dcterms:modified xsi:type="dcterms:W3CDTF">2023-09-18T07:36:21Z</dcterms:modified>
</cp:coreProperties>
</file>